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3ED3" w:rsidRPr="00E6163E" w:rsidRDefault="005A3ED3" w:rsidP="00E6163E">
      <w:pPr>
        <w:pStyle w:val="CorpsdetexteMsoNormal"/>
        <w:pBdr>
          <w:top w:val="single" w:sz="4" w:space="1" w:color="auto"/>
          <w:left w:val="single" w:sz="4" w:space="4" w:color="auto"/>
          <w:bottom w:val="single" w:sz="4" w:space="1" w:color="auto"/>
          <w:right w:val="single" w:sz="4" w:space="4" w:color="auto"/>
        </w:pBdr>
        <w:shd w:val="clear" w:color="auto" w:fill="D5DCE4" w:themeFill="text2" w:themeFillTint="33"/>
        <w:spacing w:after="0"/>
        <w:ind w:left="2410" w:right="141"/>
        <w:jc w:val="center"/>
        <w:rPr>
          <w:rFonts w:ascii="Geneva" w:hAnsi="Geneva" w:hint="eastAsia"/>
          <w:b/>
        </w:rPr>
      </w:pPr>
      <w:bookmarkStart w:id="0" w:name="_Hlk161054510"/>
      <w:bookmarkEnd w:id="0"/>
      <w:r w:rsidRPr="00E6163E">
        <w:rPr>
          <w:rFonts w:ascii="Geneva" w:hAnsi="Geneva" w:hint="eastAsia"/>
          <w:b/>
          <w:noProof/>
          <w:lang w:eastAsia="fr-FR" w:bidi="ar-SA"/>
        </w:rPr>
        <mc:AlternateContent>
          <mc:Choice Requires="wps">
            <w:drawing>
              <wp:anchor distT="0" distB="0" distL="114300" distR="114300" simplePos="0" relativeHeight="251659264" behindDoc="0" locked="0" layoutInCell="1" allowOverlap="1">
                <wp:simplePos x="0" y="0"/>
                <wp:positionH relativeFrom="column">
                  <wp:posOffset>-14358</wp:posOffset>
                </wp:positionH>
                <wp:positionV relativeFrom="paragraph">
                  <wp:posOffset>-1945</wp:posOffset>
                </wp:positionV>
                <wp:extent cx="1332293" cy="612358"/>
                <wp:effectExtent l="0" t="0" r="20320" b="16510"/>
                <wp:wrapNone/>
                <wp:docPr id="10" name="Zone de texte 10"/>
                <wp:cNvGraphicFramePr/>
                <a:graphic xmlns:a="http://schemas.openxmlformats.org/drawingml/2006/main">
                  <a:graphicData uri="http://schemas.microsoft.com/office/word/2010/wordprocessingShape">
                    <wps:wsp>
                      <wps:cNvSpPr txBox="1"/>
                      <wps:spPr>
                        <a:xfrm>
                          <a:off x="0" y="0"/>
                          <a:ext cx="1332293" cy="612358"/>
                        </a:xfrm>
                        <a:prstGeom prst="rect">
                          <a:avLst/>
                        </a:prstGeom>
                        <a:solidFill>
                          <a:schemeClr val="lt1"/>
                        </a:solidFill>
                        <a:ln w="6350">
                          <a:solidFill>
                            <a:prstClr val="black"/>
                          </a:solidFill>
                        </a:ln>
                      </wps:spPr>
                      <wps:txbx>
                        <w:txbxContent>
                          <w:p w:rsidR="00F673FD" w:rsidRDefault="00F673FD" w:rsidP="005A3ED3">
                            <w:pPr>
                              <w:jc w:val="center"/>
                            </w:pPr>
                            <w:r w:rsidRPr="00E6163E">
                              <w:rPr>
                                <w:noProof/>
                                <w:lang w:eastAsia="fr-FR"/>
                              </w:rPr>
                              <w:drawing>
                                <wp:inline distT="0" distB="0" distL="0" distR="0">
                                  <wp:extent cx="1159128" cy="508920"/>
                                  <wp:effectExtent l="0" t="0" r="3175" b="5715"/>
                                  <wp:docPr id="12" name="Image 12" descr="O:\Données Collectivités\CCPI\Logos et images\1 - Logos CCPI et sous-logos compétences\1 - Fichiers logos CCPI\sans_contour\horizontal\Logo sans contour couleur (haute ré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Données Collectivités\CCPI\Logos et images\1 - Logos CCPI et sous-logos compétences\1 - Fichiers logos CCPI\sans_contour\horizontal\Logo sans contour couleur (haute résolut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2587" cy="519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26" type="#_x0000_t202" style="position:absolute;left:0;text-align:left;margin-left:-1.15pt;margin-top:-.15pt;width:104.9pt;height:4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" fillcolor="white [3201]" strokeweight=".5pt">
                <v:textbox>
                  <w:txbxContent>
                    <w:p w:rsidR="00F673FD" w:rsidRDefault="00F673FD" w:rsidP="005A3ED3">
                      <w:pPr>
                        <w:jc w:val="center"/>
                      </w:pPr>
                      <w:r w:rsidRPr="00E6163E">
                        <w:rPr>
                          <w:noProof/>
                          <w:lang w:eastAsia="fr-FR"/>
                        </w:rPr>
                        <w:drawing>
                          <wp:inline distT="0" distB="0" distL="0" distR="0">
                            <wp:extent cx="1159128" cy="508920"/>
                            <wp:effectExtent l="0" t="0" r="3175" b="5715"/>
                            <wp:docPr id="12" name="Image 12" descr="O:\Données Collectivités\CCPI\Logos et images\1 - Logos CCPI et sous-logos compétences\1 - Fichiers logos CCPI\sans_contour\horizontal\Logo sans contour couleur (haute ré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Données Collectivités\CCPI\Logos et images\1 - Logos CCPI et sous-logos compétences\1 - Fichiers logos CCPI\sans_contour\horizontal\Logo sans contour couleur (haute résolut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2587" cy="519220"/>
                                    </a:xfrm>
                                    <a:prstGeom prst="rect">
                                      <a:avLst/>
                                    </a:prstGeom>
                                    <a:noFill/>
                                    <a:ln>
                                      <a:noFill/>
                                    </a:ln>
                                  </pic:spPr>
                                </pic:pic>
                              </a:graphicData>
                            </a:graphic>
                          </wp:inline>
                        </w:drawing>
                      </w:r>
                    </w:p>
                  </w:txbxContent>
                </v:textbox>
              </v:shape>
            </w:pict>
          </mc:Fallback>
        </mc:AlternateContent>
      </w:r>
      <w:r w:rsidR="004326AE" w:rsidRPr="00E6163E">
        <w:rPr>
          <w:rFonts w:ascii="Geneva" w:hAnsi="Geneva"/>
          <w:b/>
        </w:rPr>
        <w:t xml:space="preserve">NOTE DE </w:t>
      </w:r>
    </w:p>
    <w:p w:rsidR="005A3ED3" w:rsidRPr="00E6163E" w:rsidRDefault="004326AE" w:rsidP="00E6163E">
      <w:pPr>
        <w:pStyle w:val="CorpsdetexteMsoNormal"/>
        <w:pBdr>
          <w:top w:val="single" w:sz="4" w:space="1" w:color="auto"/>
          <w:left w:val="single" w:sz="4" w:space="4" w:color="auto"/>
          <w:bottom w:val="single" w:sz="4" w:space="1" w:color="auto"/>
          <w:right w:val="single" w:sz="4" w:space="4" w:color="auto"/>
        </w:pBdr>
        <w:shd w:val="clear" w:color="auto" w:fill="D5DCE4" w:themeFill="text2" w:themeFillTint="33"/>
        <w:spacing w:after="0"/>
        <w:ind w:left="2410" w:right="141"/>
        <w:jc w:val="center"/>
        <w:rPr>
          <w:rFonts w:ascii="Geneva" w:hAnsi="Geneva" w:hint="eastAsia"/>
          <w:b/>
        </w:rPr>
      </w:pPr>
      <w:r w:rsidRPr="00E6163E">
        <w:rPr>
          <w:rFonts w:ascii="Geneva" w:hAnsi="Geneva"/>
          <w:b/>
        </w:rPr>
        <w:t>PRESENTATION BREVE ET SYNTHETIQUE</w:t>
      </w:r>
    </w:p>
    <w:p w:rsidR="004326AE" w:rsidRPr="00E6163E" w:rsidRDefault="004326AE" w:rsidP="00E6163E">
      <w:pPr>
        <w:pStyle w:val="CorpsdetexteMsoNormal"/>
        <w:pBdr>
          <w:top w:val="single" w:sz="4" w:space="1" w:color="auto"/>
          <w:left w:val="single" w:sz="4" w:space="4" w:color="auto"/>
          <w:bottom w:val="single" w:sz="4" w:space="1" w:color="auto"/>
          <w:right w:val="single" w:sz="4" w:space="4" w:color="auto"/>
        </w:pBdr>
        <w:shd w:val="clear" w:color="auto" w:fill="D5DCE4" w:themeFill="text2" w:themeFillTint="33"/>
        <w:spacing w:after="0"/>
        <w:ind w:left="2410" w:right="141"/>
        <w:jc w:val="center"/>
        <w:rPr>
          <w:rFonts w:ascii="Geneva" w:hAnsi="Geneva" w:hint="eastAsia"/>
          <w:b/>
        </w:rPr>
      </w:pPr>
      <w:r w:rsidRPr="00E6163E">
        <w:rPr>
          <w:rFonts w:ascii="Geneva" w:hAnsi="Geneva"/>
          <w:b/>
        </w:rPr>
        <w:t xml:space="preserve"> D</w:t>
      </w:r>
      <w:r w:rsidR="00981A6F" w:rsidRPr="00E6163E">
        <w:rPr>
          <w:rFonts w:ascii="Geneva" w:hAnsi="Geneva"/>
          <w:b/>
        </w:rPr>
        <w:t xml:space="preserve">ES COMPTES FINANCIERS UNIQUES </w:t>
      </w:r>
      <w:r w:rsidRPr="00E6163E">
        <w:rPr>
          <w:rFonts w:ascii="Geneva" w:hAnsi="Geneva"/>
          <w:b/>
        </w:rPr>
        <w:t>2023</w:t>
      </w:r>
    </w:p>
    <w:p w:rsidR="004326AE" w:rsidRDefault="004326AE" w:rsidP="005A3ED3">
      <w:pPr>
        <w:pStyle w:val="CorpsdetexteMsoNormal"/>
        <w:spacing w:after="0"/>
        <w:ind w:left="3544"/>
        <w:jc w:val="center"/>
      </w:pPr>
    </w:p>
    <w:p w:rsidR="005A3ED3" w:rsidRDefault="005A3ED3" w:rsidP="004326AE">
      <w:pPr>
        <w:pStyle w:val="CorpsdetexteMsoNormal"/>
        <w:spacing w:after="0"/>
        <w:jc w:val="center"/>
      </w:pPr>
    </w:p>
    <w:p w:rsidR="004326AE" w:rsidRPr="006A6298" w:rsidRDefault="004326AE" w:rsidP="00F12138">
      <w:pPr>
        <w:tabs>
          <w:tab w:val="left" w:pos="4060"/>
        </w:tabs>
        <w:jc w:val="both"/>
        <w:rPr>
          <w:rFonts w:ascii="Times New Roman" w:hAnsi="Times New Roman" w:cs="Times New Roman"/>
        </w:rPr>
      </w:pPr>
      <w:r w:rsidRPr="006A6298">
        <w:rPr>
          <w:rFonts w:ascii="Times New Roman" w:hAnsi="Times New Roman" w:cs="Times New Roman"/>
        </w:rPr>
        <w:t>L’article L. 2313-1 du code général des collectivités territoriales prévoit qu’une présentation brève et synthétique retraçant les informations financières essentielles doit être annexée au compte administratif. La présente note répond à cette obligation.</w:t>
      </w:r>
    </w:p>
    <w:p w:rsidR="004326AE" w:rsidRPr="006A6298" w:rsidRDefault="004326AE" w:rsidP="004326AE">
      <w:pPr>
        <w:spacing w:after="0" w:line="240" w:lineRule="auto"/>
        <w:jc w:val="both"/>
        <w:rPr>
          <w:rFonts w:ascii="Times New Roman" w:hAnsi="Times New Roman" w:cs="Times New Roman"/>
        </w:rPr>
      </w:pPr>
      <w:r w:rsidRPr="006A6298">
        <w:rPr>
          <w:rFonts w:ascii="Times New Roman" w:hAnsi="Times New Roman" w:cs="Times New Roman"/>
        </w:rPr>
        <w:t xml:space="preserve">Pour mémoire, le compte </w:t>
      </w:r>
      <w:r w:rsidR="006F783E">
        <w:rPr>
          <w:rFonts w:ascii="Times New Roman" w:hAnsi="Times New Roman" w:cs="Times New Roman"/>
        </w:rPr>
        <w:t>financier unique</w:t>
      </w:r>
      <w:r w:rsidRPr="006A6298">
        <w:rPr>
          <w:rFonts w:ascii="Times New Roman" w:hAnsi="Times New Roman" w:cs="Times New Roman"/>
        </w:rPr>
        <w:t> :</w:t>
      </w:r>
    </w:p>
    <w:p w:rsidR="004326AE" w:rsidRPr="006A6298" w:rsidRDefault="004326AE" w:rsidP="004326AE">
      <w:pPr>
        <w:pStyle w:val="Paragraphedeliste"/>
        <w:numPr>
          <w:ilvl w:val="0"/>
          <w:numId w:val="2"/>
        </w:numPr>
        <w:spacing w:after="0" w:line="240" w:lineRule="auto"/>
        <w:jc w:val="both"/>
        <w:rPr>
          <w:rFonts w:ascii="Times New Roman" w:hAnsi="Times New Roman" w:cs="Times New Roman"/>
        </w:rPr>
      </w:pPr>
      <w:proofErr w:type="gramStart"/>
      <w:r w:rsidRPr="006A6298">
        <w:rPr>
          <w:rFonts w:ascii="Times New Roman" w:hAnsi="Times New Roman" w:cs="Times New Roman"/>
        </w:rPr>
        <w:t>est</w:t>
      </w:r>
      <w:proofErr w:type="gramEnd"/>
      <w:r w:rsidRPr="006A6298">
        <w:rPr>
          <w:rFonts w:ascii="Times New Roman" w:hAnsi="Times New Roman" w:cs="Times New Roman"/>
        </w:rPr>
        <w:t xml:space="preserve"> établi en fin d’exercice par le </w:t>
      </w:r>
      <w:r w:rsidR="006F783E">
        <w:rPr>
          <w:rFonts w:ascii="Times New Roman" w:hAnsi="Times New Roman" w:cs="Times New Roman"/>
        </w:rPr>
        <w:t>Président et par le directeur de la DGFIP</w:t>
      </w:r>
    </w:p>
    <w:p w:rsidR="004326AE" w:rsidRPr="006A6298" w:rsidRDefault="004326AE" w:rsidP="004326AE">
      <w:pPr>
        <w:pStyle w:val="Paragraphedeliste"/>
        <w:numPr>
          <w:ilvl w:val="0"/>
          <w:numId w:val="2"/>
        </w:numPr>
        <w:spacing w:after="0" w:line="240" w:lineRule="auto"/>
        <w:jc w:val="both"/>
        <w:rPr>
          <w:rFonts w:ascii="Times New Roman" w:hAnsi="Times New Roman" w:cs="Times New Roman"/>
        </w:rPr>
      </w:pPr>
      <w:proofErr w:type="gramStart"/>
      <w:r w:rsidRPr="006A6298">
        <w:rPr>
          <w:rFonts w:ascii="Times New Roman" w:hAnsi="Times New Roman" w:cs="Times New Roman"/>
        </w:rPr>
        <w:t>est</w:t>
      </w:r>
      <w:proofErr w:type="gramEnd"/>
      <w:r w:rsidRPr="006A6298">
        <w:rPr>
          <w:rFonts w:ascii="Times New Roman" w:hAnsi="Times New Roman" w:cs="Times New Roman"/>
        </w:rPr>
        <w:t xml:space="preserve"> le bilan financier de la </w:t>
      </w:r>
      <w:r w:rsidR="006F783E">
        <w:rPr>
          <w:rFonts w:ascii="Times New Roman" w:hAnsi="Times New Roman" w:cs="Times New Roman"/>
        </w:rPr>
        <w:t>communauté</w:t>
      </w:r>
      <w:r w:rsidRPr="006A6298">
        <w:rPr>
          <w:rFonts w:ascii="Times New Roman" w:hAnsi="Times New Roman" w:cs="Times New Roman"/>
        </w:rPr>
        <w:t>. Il rend compte des opérations budgétaires exécutées.</w:t>
      </w:r>
    </w:p>
    <w:p w:rsidR="004326AE" w:rsidRPr="006A6298" w:rsidRDefault="004326AE" w:rsidP="004326AE">
      <w:pPr>
        <w:pStyle w:val="Paragraphedeliste"/>
        <w:numPr>
          <w:ilvl w:val="0"/>
          <w:numId w:val="2"/>
        </w:numPr>
        <w:spacing w:after="0" w:line="240" w:lineRule="auto"/>
        <w:jc w:val="both"/>
        <w:rPr>
          <w:rFonts w:ascii="Times New Roman" w:hAnsi="Times New Roman" w:cs="Times New Roman"/>
        </w:rPr>
      </w:pPr>
      <w:proofErr w:type="gramStart"/>
      <w:r w:rsidRPr="006A6298">
        <w:rPr>
          <w:rFonts w:ascii="Times New Roman" w:hAnsi="Times New Roman" w:cs="Times New Roman"/>
        </w:rPr>
        <w:t>rapproche</w:t>
      </w:r>
      <w:proofErr w:type="gramEnd"/>
      <w:r w:rsidRPr="006A6298">
        <w:rPr>
          <w:rFonts w:ascii="Times New Roman" w:hAnsi="Times New Roman" w:cs="Times New Roman"/>
        </w:rPr>
        <w:t xml:space="preserve"> des prévisions budgétaires inscrites au budget primitif des réalisations effectives, en dépenses et en recettes, pour les deux sections,</w:t>
      </w:r>
    </w:p>
    <w:p w:rsidR="004326AE" w:rsidRPr="006A6298" w:rsidRDefault="004326AE" w:rsidP="004326AE">
      <w:pPr>
        <w:pStyle w:val="Paragraphedeliste"/>
        <w:numPr>
          <w:ilvl w:val="0"/>
          <w:numId w:val="2"/>
        </w:numPr>
        <w:spacing w:after="0" w:line="240" w:lineRule="auto"/>
        <w:jc w:val="both"/>
        <w:rPr>
          <w:rFonts w:ascii="Times New Roman" w:hAnsi="Times New Roman" w:cs="Times New Roman"/>
        </w:rPr>
      </w:pPr>
      <w:proofErr w:type="gramStart"/>
      <w:r w:rsidRPr="006A6298">
        <w:rPr>
          <w:rFonts w:ascii="Times New Roman" w:hAnsi="Times New Roman" w:cs="Times New Roman"/>
        </w:rPr>
        <w:t>se</w:t>
      </w:r>
      <w:proofErr w:type="gramEnd"/>
      <w:r w:rsidRPr="006A6298">
        <w:rPr>
          <w:rFonts w:ascii="Times New Roman" w:hAnsi="Times New Roman" w:cs="Times New Roman"/>
        </w:rPr>
        <w:t xml:space="preserve"> présente de la même manière que le budget pour permettre la comparaison et présenter les résultats comptables de l’exercice.</w:t>
      </w:r>
    </w:p>
    <w:p w:rsidR="004326AE" w:rsidRPr="006A6298" w:rsidRDefault="004326AE" w:rsidP="004326AE">
      <w:pPr>
        <w:pStyle w:val="Paragraphedeliste"/>
        <w:spacing w:after="0" w:line="240" w:lineRule="auto"/>
        <w:jc w:val="both"/>
        <w:rPr>
          <w:rFonts w:ascii="Times New Roman" w:hAnsi="Times New Roman" w:cs="Times New Roman"/>
        </w:rPr>
      </w:pPr>
    </w:p>
    <w:p w:rsidR="004326AE" w:rsidRPr="006A6298" w:rsidRDefault="004326AE" w:rsidP="004326AE">
      <w:pPr>
        <w:spacing w:after="0" w:line="240" w:lineRule="auto"/>
        <w:jc w:val="both"/>
        <w:rPr>
          <w:rFonts w:ascii="Times New Roman" w:hAnsi="Times New Roman" w:cs="Times New Roman"/>
        </w:rPr>
      </w:pPr>
      <w:r w:rsidRPr="006A6298">
        <w:rPr>
          <w:rFonts w:ascii="Times New Roman" w:hAnsi="Times New Roman" w:cs="Times New Roman"/>
        </w:rPr>
        <w:t xml:space="preserve">Le compte </w:t>
      </w:r>
      <w:r w:rsidR="006A6298">
        <w:rPr>
          <w:rFonts w:ascii="Times New Roman" w:hAnsi="Times New Roman" w:cs="Times New Roman"/>
        </w:rPr>
        <w:t>financier unique</w:t>
      </w:r>
      <w:r w:rsidRPr="006A6298">
        <w:rPr>
          <w:rFonts w:ascii="Times New Roman" w:hAnsi="Times New Roman" w:cs="Times New Roman"/>
        </w:rPr>
        <w:t xml:space="preserve"> comporte deux grandes sections bien distinctes :</w:t>
      </w:r>
    </w:p>
    <w:p w:rsidR="004326AE" w:rsidRPr="006A6298" w:rsidRDefault="004326AE" w:rsidP="004326AE">
      <w:pPr>
        <w:pStyle w:val="Paragraphedeliste"/>
        <w:numPr>
          <w:ilvl w:val="0"/>
          <w:numId w:val="2"/>
        </w:numPr>
        <w:spacing w:after="0" w:line="240" w:lineRule="auto"/>
        <w:jc w:val="both"/>
        <w:rPr>
          <w:rFonts w:ascii="Times New Roman" w:hAnsi="Times New Roman" w:cs="Times New Roman"/>
        </w:rPr>
      </w:pPr>
      <w:r w:rsidRPr="006A6298">
        <w:rPr>
          <w:rFonts w:ascii="Times New Roman" w:hAnsi="Times New Roman" w:cs="Times New Roman"/>
          <w:b/>
          <w:bCs/>
          <w:color w:val="7030A0"/>
        </w:rPr>
        <w:t>La section de fonctionnement</w:t>
      </w:r>
      <w:r w:rsidRPr="006A6298">
        <w:rPr>
          <w:rFonts w:ascii="Times New Roman" w:hAnsi="Times New Roman" w:cs="Times New Roman"/>
          <w:color w:val="7030A0"/>
        </w:rPr>
        <w:t xml:space="preserve"> </w:t>
      </w:r>
      <w:r w:rsidRPr="006A6298">
        <w:rPr>
          <w:rFonts w:ascii="Times New Roman" w:hAnsi="Times New Roman" w:cs="Times New Roman"/>
        </w:rPr>
        <w:t>qui concerne la gestion courante de la commun</w:t>
      </w:r>
      <w:r w:rsidR="006F783E">
        <w:rPr>
          <w:rFonts w:ascii="Times New Roman" w:hAnsi="Times New Roman" w:cs="Times New Roman"/>
        </w:rPr>
        <w:t>auté</w:t>
      </w:r>
      <w:r w:rsidRPr="006A6298">
        <w:rPr>
          <w:rFonts w:ascii="Times New Roman" w:hAnsi="Times New Roman" w:cs="Times New Roman"/>
        </w:rPr>
        <w:t>,</w:t>
      </w:r>
    </w:p>
    <w:p w:rsidR="004326AE" w:rsidRPr="006A6298" w:rsidRDefault="004326AE" w:rsidP="004326AE">
      <w:pPr>
        <w:pStyle w:val="Paragraphedeliste"/>
        <w:numPr>
          <w:ilvl w:val="0"/>
          <w:numId w:val="2"/>
        </w:numPr>
        <w:spacing w:after="0" w:line="240" w:lineRule="auto"/>
        <w:jc w:val="both"/>
        <w:rPr>
          <w:rFonts w:ascii="Times New Roman" w:hAnsi="Times New Roman" w:cs="Times New Roman"/>
        </w:rPr>
      </w:pPr>
      <w:r w:rsidRPr="006A6298">
        <w:rPr>
          <w:rFonts w:ascii="Times New Roman" w:hAnsi="Times New Roman" w:cs="Times New Roman"/>
          <w:b/>
          <w:bCs/>
          <w:color w:val="7030A0"/>
        </w:rPr>
        <w:t>La section d’investissement</w:t>
      </w:r>
      <w:r w:rsidRPr="006A6298">
        <w:rPr>
          <w:rFonts w:ascii="Times New Roman" w:hAnsi="Times New Roman" w:cs="Times New Roman"/>
          <w:color w:val="7030A0"/>
        </w:rPr>
        <w:t xml:space="preserve"> </w:t>
      </w:r>
      <w:r w:rsidRPr="006A6298">
        <w:rPr>
          <w:rFonts w:ascii="Times New Roman" w:hAnsi="Times New Roman" w:cs="Times New Roman"/>
        </w:rPr>
        <w:t>qui retrace les opérations non courantes, ponctuelles, de nature à modifier le patrimoine de la commun</w:t>
      </w:r>
      <w:r w:rsidR="006F783E">
        <w:rPr>
          <w:rFonts w:ascii="Times New Roman" w:hAnsi="Times New Roman" w:cs="Times New Roman"/>
        </w:rPr>
        <w:t>auté</w:t>
      </w:r>
      <w:r w:rsidRPr="006A6298">
        <w:rPr>
          <w:rFonts w:ascii="Times New Roman" w:hAnsi="Times New Roman" w:cs="Times New Roman"/>
        </w:rPr>
        <w:t>.</w:t>
      </w:r>
    </w:p>
    <w:p w:rsidR="004326AE" w:rsidRPr="006A6298" w:rsidRDefault="004326AE" w:rsidP="004326AE">
      <w:pPr>
        <w:pStyle w:val="Paragraphedeliste"/>
        <w:spacing w:after="0" w:line="240" w:lineRule="auto"/>
        <w:jc w:val="both"/>
        <w:rPr>
          <w:rFonts w:ascii="Times New Roman" w:hAnsi="Times New Roman" w:cs="Times New Roman"/>
        </w:rPr>
      </w:pPr>
    </w:p>
    <w:p w:rsidR="004326AE" w:rsidRPr="006A6298" w:rsidRDefault="004326AE" w:rsidP="004326AE">
      <w:pPr>
        <w:jc w:val="both"/>
        <w:rPr>
          <w:rFonts w:ascii="Times New Roman" w:hAnsi="Times New Roman" w:cs="Times New Roman"/>
        </w:rPr>
      </w:pPr>
      <w:r w:rsidRPr="006A6298">
        <w:rPr>
          <w:rFonts w:ascii="Times New Roman" w:hAnsi="Times New Roman" w:cs="Times New Roman"/>
        </w:rPr>
        <w:t>Contrairement à un budget qui doit être équilibré (dépenses = recettes pour chaque section), le compte administratif fait ressortir des écarts entre les dépenses et les recettes de chaque section. Son objectif est de dégager les résultats de l’exercice en sachant que les informations qui y figurent sont concordantes avec celles présentées par le Trésorier dans son compte de gestion.</w:t>
      </w:r>
    </w:p>
    <w:p w:rsidR="004326AE" w:rsidRDefault="006A6298" w:rsidP="004326AE">
      <w:pPr>
        <w:jc w:val="both"/>
        <w:rPr>
          <w:rFonts w:ascii="Times New Roman" w:hAnsi="Times New Roman" w:cs="Times New Roman"/>
        </w:rPr>
      </w:pPr>
      <w:r w:rsidRPr="006A6298">
        <w:rPr>
          <w:rFonts w:ascii="Times New Roman" w:hAnsi="Times New Roman" w:cs="Times New Roman"/>
        </w:rPr>
        <w:t>Le compte administratif du budget principal comme des budgets annexes fait ressortir</w:t>
      </w:r>
      <w:r w:rsidR="004326AE" w:rsidRPr="006A6298">
        <w:rPr>
          <w:rFonts w:ascii="Times New Roman" w:hAnsi="Times New Roman" w:cs="Times New Roman"/>
        </w:rPr>
        <w:t xml:space="preserve"> une exécution financière saine au service des habitants</w:t>
      </w:r>
      <w:r w:rsidRPr="006A6298">
        <w:rPr>
          <w:rFonts w:ascii="Times New Roman" w:hAnsi="Times New Roman" w:cs="Times New Roman"/>
        </w:rPr>
        <w:t xml:space="preserve"> et du territoire.</w:t>
      </w:r>
    </w:p>
    <w:p w:rsidR="006A6298" w:rsidRDefault="006A6298" w:rsidP="004326AE">
      <w:pPr>
        <w:jc w:val="both"/>
        <w:rPr>
          <w:rFonts w:ascii="Times New Roman" w:hAnsi="Times New Roman" w:cs="Times New Roman"/>
        </w:rPr>
      </w:pPr>
      <w:r>
        <w:rPr>
          <w:rFonts w:ascii="Times New Roman" w:hAnsi="Times New Roman" w:cs="Times New Roman"/>
        </w:rPr>
        <w:t>Une note de présentation est établie pour chaque budget de la communauté et porte à la fois sur l’analyse synthétique du compte financier unique mais aussi sur les principales évolutions du budget primitif de chacun d’entre eux.</w:t>
      </w:r>
    </w:p>
    <w:p w:rsidR="006A6298" w:rsidRPr="006A6298" w:rsidRDefault="006A6298" w:rsidP="004326AE">
      <w:pPr>
        <w:jc w:val="both"/>
        <w:rPr>
          <w:rFonts w:ascii="Times New Roman" w:hAnsi="Times New Roman" w:cs="Times New Roman"/>
        </w:rPr>
      </w:pPr>
    </w:p>
    <w:p w:rsidR="006A6298" w:rsidRPr="00273D51" w:rsidRDefault="00273D51" w:rsidP="00273D51">
      <w:pPr>
        <w:pStyle w:val="Paragraphedeliste"/>
        <w:numPr>
          <w:ilvl w:val="0"/>
          <w:numId w:val="3"/>
        </w:numPr>
        <w:shd w:val="clear" w:color="auto" w:fill="FBE4D5" w:themeFill="accent2" w:themeFillTint="33"/>
        <w:rPr>
          <w:rFonts w:ascii="Times New Roman" w:hAnsi="Times New Roman" w:cs="Times New Roman"/>
          <w:b/>
        </w:rPr>
      </w:pPr>
      <w:r w:rsidRPr="00273D51">
        <w:rPr>
          <w:rFonts w:ascii="Times New Roman" w:hAnsi="Times New Roman" w:cs="Times New Roman"/>
          <w:b/>
        </w:rPr>
        <w:t>RESULTATS 2023</w:t>
      </w:r>
    </w:p>
    <w:p w:rsidR="000F35D1" w:rsidRDefault="000F35D1" w:rsidP="000F35D1">
      <w:pPr>
        <w:jc w:val="center"/>
        <w:rPr>
          <w:rFonts w:ascii="Times New Roman" w:hAnsi="Times New Roman" w:cs="Times New Roman"/>
        </w:rPr>
      </w:pPr>
      <w:r w:rsidRPr="000F35D1">
        <w:rPr>
          <w:noProof/>
          <w:lang w:eastAsia="fr-FR"/>
        </w:rPr>
        <w:drawing>
          <wp:inline distT="0" distB="0" distL="0" distR="0" wp14:anchorId="40ABC14E" wp14:editId="1823A694">
            <wp:extent cx="5300506" cy="261870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4193" cy="2620523"/>
                    </a:xfrm>
                    <a:prstGeom prst="rect">
                      <a:avLst/>
                    </a:prstGeom>
                    <a:noFill/>
                    <a:ln>
                      <a:noFill/>
                    </a:ln>
                  </pic:spPr>
                </pic:pic>
              </a:graphicData>
            </a:graphic>
          </wp:inline>
        </w:drawing>
      </w:r>
    </w:p>
    <w:p w:rsidR="006A6298" w:rsidRPr="00050EC9" w:rsidRDefault="006A6298" w:rsidP="006A6298">
      <w:pPr>
        <w:rPr>
          <w:rFonts w:ascii="Times New Roman" w:hAnsi="Times New Roman" w:cs="Times New Roman"/>
        </w:rPr>
      </w:pPr>
      <w:r w:rsidRPr="00050EC9">
        <w:rPr>
          <w:rFonts w:ascii="Times New Roman" w:hAnsi="Times New Roman" w:cs="Times New Roman"/>
        </w:rPr>
        <w:t>En vision consolidée, les résultats de l’année 2023 sont les suivants (hors restes à réaliser) :</w:t>
      </w:r>
    </w:p>
    <w:p w:rsidR="006A6298" w:rsidRPr="00050EC9" w:rsidRDefault="006A6298" w:rsidP="006A6298">
      <w:pPr>
        <w:pStyle w:val="Paragraphedeliste"/>
        <w:numPr>
          <w:ilvl w:val="0"/>
          <w:numId w:val="1"/>
        </w:numPr>
        <w:rPr>
          <w:rFonts w:ascii="Times New Roman" w:hAnsi="Times New Roman" w:cs="Times New Roman"/>
        </w:rPr>
      </w:pPr>
      <w:r w:rsidRPr="00050EC9">
        <w:rPr>
          <w:rFonts w:ascii="Times New Roman" w:hAnsi="Times New Roman" w:cs="Times New Roman"/>
        </w:rPr>
        <w:t xml:space="preserve">En dépenses : </w:t>
      </w:r>
      <w:r>
        <w:rPr>
          <w:rFonts w:ascii="Times New Roman" w:hAnsi="Times New Roman" w:cs="Times New Roman"/>
        </w:rPr>
        <w:tab/>
      </w:r>
      <w:r w:rsidRPr="00050EC9">
        <w:rPr>
          <w:rFonts w:ascii="Times New Roman" w:hAnsi="Times New Roman" w:cs="Times New Roman"/>
        </w:rPr>
        <w:t>68 264 048 €</w:t>
      </w:r>
    </w:p>
    <w:p w:rsidR="006A6298" w:rsidRPr="00050EC9" w:rsidRDefault="006A6298" w:rsidP="006A6298">
      <w:pPr>
        <w:pStyle w:val="Paragraphedeliste"/>
        <w:numPr>
          <w:ilvl w:val="0"/>
          <w:numId w:val="1"/>
        </w:numPr>
        <w:rPr>
          <w:rFonts w:ascii="Times New Roman" w:hAnsi="Times New Roman" w:cs="Times New Roman"/>
        </w:rPr>
      </w:pPr>
      <w:r w:rsidRPr="00050EC9">
        <w:rPr>
          <w:rFonts w:ascii="Times New Roman" w:hAnsi="Times New Roman" w:cs="Times New Roman"/>
        </w:rPr>
        <w:t xml:space="preserve">En recettes : </w:t>
      </w:r>
      <w:r>
        <w:rPr>
          <w:rFonts w:ascii="Times New Roman" w:hAnsi="Times New Roman" w:cs="Times New Roman"/>
        </w:rPr>
        <w:tab/>
      </w:r>
      <w:r w:rsidRPr="00050EC9">
        <w:rPr>
          <w:rFonts w:ascii="Times New Roman" w:hAnsi="Times New Roman" w:cs="Times New Roman"/>
        </w:rPr>
        <w:t xml:space="preserve">71 979 038 </w:t>
      </w:r>
      <w:r>
        <w:rPr>
          <w:rFonts w:ascii="Times New Roman" w:hAnsi="Times New Roman" w:cs="Times New Roman"/>
        </w:rPr>
        <w:t>€</w:t>
      </w:r>
    </w:p>
    <w:p w:rsidR="006A6298" w:rsidRDefault="006A6298" w:rsidP="006A6298">
      <w:pPr>
        <w:pStyle w:val="Paragraphedeliste"/>
        <w:numPr>
          <w:ilvl w:val="0"/>
          <w:numId w:val="1"/>
        </w:numPr>
        <w:rPr>
          <w:rFonts w:ascii="Times New Roman" w:hAnsi="Times New Roman" w:cs="Times New Roman"/>
        </w:rPr>
      </w:pPr>
      <w:r w:rsidRPr="00050EC9">
        <w:rPr>
          <w:rFonts w:ascii="Times New Roman" w:hAnsi="Times New Roman" w:cs="Times New Roman"/>
        </w:rPr>
        <w:t>Soit un résultat consolidé de 3 714 990 €.</w:t>
      </w:r>
    </w:p>
    <w:p w:rsidR="006A6298" w:rsidRDefault="006A6298" w:rsidP="006A6298">
      <w:pPr>
        <w:rPr>
          <w:b/>
          <w:u w:val="single"/>
        </w:rPr>
      </w:pPr>
      <w:r w:rsidRPr="007617E7">
        <w:rPr>
          <w:noProof/>
          <w:lang w:eastAsia="fr-FR"/>
        </w:rPr>
        <w:drawing>
          <wp:inline distT="0" distB="0" distL="0" distR="0" wp14:anchorId="682209BF" wp14:editId="7CDCC50A">
            <wp:extent cx="5760720" cy="151166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511665"/>
                    </a:xfrm>
                    <a:prstGeom prst="rect">
                      <a:avLst/>
                    </a:prstGeom>
                    <a:noFill/>
                    <a:ln>
                      <a:noFill/>
                    </a:ln>
                  </pic:spPr>
                </pic:pic>
              </a:graphicData>
            </a:graphic>
          </wp:inline>
        </w:drawing>
      </w:r>
    </w:p>
    <w:p w:rsidR="006A6298" w:rsidRDefault="006A6298" w:rsidP="006A6298">
      <w:pPr>
        <w:rPr>
          <w:b/>
          <w:u w:val="single"/>
        </w:rPr>
      </w:pPr>
      <w:r w:rsidRPr="007617E7">
        <w:rPr>
          <w:noProof/>
          <w:lang w:eastAsia="fr-FR"/>
        </w:rPr>
        <w:drawing>
          <wp:inline distT="0" distB="0" distL="0" distR="0" wp14:anchorId="3C801CF9" wp14:editId="19E45E8A">
            <wp:extent cx="4587073" cy="21207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4646" cy="214736"/>
                    </a:xfrm>
                    <a:prstGeom prst="rect">
                      <a:avLst/>
                    </a:prstGeom>
                    <a:noFill/>
                    <a:ln>
                      <a:noFill/>
                    </a:ln>
                  </pic:spPr>
                </pic:pic>
              </a:graphicData>
            </a:graphic>
          </wp:inline>
        </w:drawing>
      </w:r>
    </w:p>
    <w:p w:rsidR="006A6298" w:rsidRDefault="006A6298" w:rsidP="006A6298">
      <w:r>
        <w:t xml:space="preserve">Les comptes financiers uniques font apparaître les résultats de fonctionnement et d’investissement de l’ensemble des 12 budgets communautaires suivants : </w:t>
      </w:r>
    </w:p>
    <w:p w:rsidR="006A6298" w:rsidRDefault="00F77EB3" w:rsidP="006A6298">
      <w:r w:rsidRPr="00F77EB3">
        <w:rPr>
          <w:noProof/>
          <w:lang w:eastAsia="fr-FR"/>
        </w:rPr>
        <w:drawing>
          <wp:inline distT="0" distB="0" distL="0" distR="0">
            <wp:extent cx="5760720" cy="236528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365284"/>
                    </a:xfrm>
                    <a:prstGeom prst="rect">
                      <a:avLst/>
                    </a:prstGeom>
                    <a:noFill/>
                    <a:ln>
                      <a:noFill/>
                    </a:ln>
                  </pic:spPr>
                </pic:pic>
              </a:graphicData>
            </a:graphic>
          </wp:inline>
        </w:drawing>
      </w:r>
    </w:p>
    <w:p w:rsidR="006A6298" w:rsidRDefault="006A6298" w:rsidP="006A6298">
      <w:pPr>
        <w:jc w:val="both"/>
      </w:pPr>
      <w:r>
        <w:t xml:space="preserve">Le résultat de fonctionnement du budget principal s’élève à 2 081 486.63 €. Pour la partie investissement, ce résultat est en déficit à hauteur de 232 885.74 €. </w:t>
      </w:r>
    </w:p>
    <w:p w:rsidR="006A6298" w:rsidRDefault="006A6298" w:rsidP="006A6298">
      <w:pPr>
        <w:jc w:val="both"/>
      </w:pPr>
      <w:r>
        <w:t>En consolidé de l’ensemble de ces budgets, le résultat de fonctionnement est de 7 225 970.45€ pour un résultat d’investissement déficitaire à hauteur de 3 510 979,66 €. Le résultat global de clôture hors restes à réaliser s’affiche donc à 3 714 990.79 € et à 5 661 153.64 € en intégrant les restes à réaliser.</w:t>
      </w:r>
    </w:p>
    <w:p w:rsidR="00273D51" w:rsidRDefault="00273D51" w:rsidP="00273D51">
      <w:pPr>
        <w:jc w:val="both"/>
        <w:rPr>
          <w:b/>
          <w:u w:val="single"/>
        </w:rPr>
      </w:pPr>
    </w:p>
    <w:p w:rsidR="00273D51" w:rsidRPr="00273D51" w:rsidRDefault="00273D51" w:rsidP="00273D51">
      <w:pPr>
        <w:pStyle w:val="Paragraphedeliste"/>
        <w:numPr>
          <w:ilvl w:val="0"/>
          <w:numId w:val="3"/>
        </w:numPr>
        <w:shd w:val="clear" w:color="auto" w:fill="FBE4D5" w:themeFill="accent2" w:themeFillTint="33"/>
        <w:jc w:val="both"/>
        <w:rPr>
          <w:b/>
        </w:rPr>
      </w:pPr>
      <w:r w:rsidRPr="00273D51">
        <w:rPr>
          <w:b/>
        </w:rPr>
        <w:t>ANALYSE</w:t>
      </w:r>
    </w:p>
    <w:p w:rsidR="00A839BF" w:rsidRDefault="00A839BF" w:rsidP="00273D51">
      <w:pPr>
        <w:jc w:val="both"/>
      </w:pPr>
      <w:r w:rsidRPr="00A839BF">
        <w:t xml:space="preserve">La section de fonctionnement du budget principal affiche un excédent de 2 081 487 €. </w:t>
      </w:r>
    </w:p>
    <w:p w:rsidR="00A839BF" w:rsidRDefault="00A839BF" w:rsidP="00A839BF">
      <w:pPr>
        <w:jc w:val="both"/>
        <w:rPr>
          <w:b/>
          <w:u w:val="single"/>
        </w:rPr>
      </w:pPr>
    </w:p>
    <w:p w:rsidR="00A839BF" w:rsidRDefault="00A839BF" w:rsidP="00A839BF">
      <w:pPr>
        <w:jc w:val="both"/>
        <w:rPr>
          <w:b/>
          <w:u w:val="single"/>
        </w:rPr>
      </w:pPr>
      <w:r>
        <w:rPr>
          <w:b/>
          <w:u w:val="single"/>
        </w:rPr>
        <w:t>2-1 : LES CHARGES DE FONCTIONNEMENT</w:t>
      </w:r>
    </w:p>
    <w:p w:rsidR="00A839BF" w:rsidRPr="00A839BF" w:rsidRDefault="00A839BF" w:rsidP="00273D51">
      <w:pPr>
        <w:jc w:val="both"/>
      </w:pPr>
      <w:r w:rsidRPr="00A839BF">
        <w:t xml:space="preserve">Les dépenses présentent un taux de réalisation de 90%. Ce taux s’explique </w:t>
      </w:r>
      <w:r>
        <w:t xml:space="preserve">pour une bonne part </w:t>
      </w:r>
      <w:r w:rsidRPr="00A839BF">
        <w:t>par le non recrutement en 2023 de personnels prévus.</w:t>
      </w:r>
      <w:r>
        <w:t xml:space="preserve"> Pour mémoire, en 2022, le taux de réalisation s’affichait à 92%. </w:t>
      </w:r>
    </w:p>
    <w:p w:rsidR="00A839BF" w:rsidRDefault="00A839BF" w:rsidP="00A839BF">
      <w:pPr>
        <w:jc w:val="center"/>
        <w:rPr>
          <w:b/>
          <w:u w:val="single"/>
        </w:rPr>
      </w:pPr>
      <w:r w:rsidRPr="00A839BF">
        <w:rPr>
          <w:noProof/>
          <w:lang w:eastAsia="fr-FR"/>
        </w:rPr>
        <w:drawing>
          <wp:inline distT="0" distB="0" distL="0" distR="0">
            <wp:extent cx="4055745" cy="2703830"/>
            <wp:effectExtent l="0" t="0" r="1905"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5745" cy="2703830"/>
                    </a:xfrm>
                    <a:prstGeom prst="rect">
                      <a:avLst/>
                    </a:prstGeom>
                    <a:noFill/>
                    <a:ln>
                      <a:noFill/>
                    </a:ln>
                  </pic:spPr>
                </pic:pic>
              </a:graphicData>
            </a:graphic>
          </wp:inline>
        </w:drawing>
      </w:r>
    </w:p>
    <w:p w:rsidR="00FE30A4" w:rsidRDefault="009D2F6A" w:rsidP="00273D51">
      <w:pPr>
        <w:jc w:val="both"/>
      </w:pPr>
      <w:r>
        <w:t>Il est à souligner l’importance des dotations aux amortissements qui représentent 10.69 % du réalisé 2023. Ces dotations contribuent au financement de la section d’investissement.</w:t>
      </w:r>
    </w:p>
    <w:tbl>
      <w:tblPr>
        <w:tblW w:w="9073" w:type="dxa"/>
        <w:tblInd w:w="-5" w:type="dxa"/>
        <w:tblCellMar>
          <w:left w:w="70" w:type="dxa"/>
          <w:right w:w="70" w:type="dxa"/>
        </w:tblCellMar>
        <w:tblLook w:val="04A0" w:firstRow="1" w:lastRow="0" w:firstColumn="1" w:lastColumn="0" w:noHBand="0" w:noVBand="1"/>
      </w:tblPr>
      <w:tblGrid>
        <w:gridCol w:w="2830"/>
        <w:gridCol w:w="1701"/>
        <w:gridCol w:w="1276"/>
        <w:gridCol w:w="1418"/>
        <w:gridCol w:w="1848"/>
      </w:tblGrid>
      <w:tr w:rsidR="00121D3F" w:rsidRPr="00121D3F" w:rsidTr="00121D3F">
        <w:trPr>
          <w:trHeight w:val="255"/>
        </w:trPr>
        <w:tc>
          <w:tcPr>
            <w:tcW w:w="283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121D3F" w:rsidRPr="00121D3F" w:rsidRDefault="00121D3F" w:rsidP="00121D3F">
            <w:pPr>
              <w:spacing w:after="0" w:line="240" w:lineRule="auto"/>
              <w:jc w:val="center"/>
              <w:rPr>
                <w:rFonts w:ascii="Times New Roman" w:eastAsia="Times New Roman" w:hAnsi="Times New Roman" w:cs="Times New Roman"/>
                <w:sz w:val="20"/>
                <w:szCs w:val="20"/>
                <w:lang w:eastAsia="fr-FR"/>
              </w:rPr>
            </w:pPr>
          </w:p>
        </w:tc>
        <w:tc>
          <w:tcPr>
            <w:tcW w:w="1701" w:type="dxa"/>
            <w:tcBorders>
              <w:top w:val="single" w:sz="4" w:space="0" w:color="auto"/>
              <w:left w:val="nil"/>
              <w:bottom w:val="single" w:sz="4" w:space="0" w:color="auto"/>
              <w:right w:val="single" w:sz="4" w:space="0" w:color="auto"/>
            </w:tcBorders>
            <w:shd w:val="clear" w:color="000000" w:fill="E2EFDA"/>
            <w:noWrap/>
            <w:vAlign w:val="bottom"/>
            <w:hideMark/>
          </w:tcPr>
          <w:p w:rsidR="00121D3F" w:rsidRPr="00121D3F" w:rsidRDefault="00121D3F" w:rsidP="00121D3F">
            <w:pPr>
              <w:spacing w:after="0" w:line="240" w:lineRule="auto"/>
              <w:jc w:val="center"/>
              <w:rPr>
                <w:rFonts w:ascii="Times New Roman" w:eastAsia="Times New Roman" w:hAnsi="Times New Roman" w:cs="Times New Roman"/>
                <w:sz w:val="20"/>
                <w:szCs w:val="20"/>
                <w:lang w:eastAsia="fr-FR"/>
              </w:rPr>
            </w:pPr>
            <w:r w:rsidRPr="00121D3F">
              <w:rPr>
                <w:rFonts w:ascii="Times New Roman" w:eastAsia="Times New Roman" w:hAnsi="Times New Roman" w:cs="Times New Roman"/>
                <w:sz w:val="20"/>
                <w:szCs w:val="20"/>
                <w:lang w:eastAsia="fr-FR"/>
              </w:rPr>
              <w:t>2021</w:t>
            </w:r>
          </w:p>
        </w:tc>
        <w:tc>
          <w:tcPr>
            <w:tcW w:w="1276" w:type="dxa"/>
            <w:tcBorders>
              <w:top w:val="single" w:sz="4" w:space="0" w:color="auto"/>
              <w:left w:val="nil"/>
              <w:bottom w:val="single" w:sz="4" w:space="0" w:color="auto"/>
              <w:right w:val="single" w:sz="4" w:space="0" w:color="auto"/>
            </w:tcBorders>
            <w:shd w:val="clear" w:color="000000" w:fill="E2EFDA"/>
            <w:noWrap/>
            <w:vAlign w:val="bottom"/>
            <w:hideMark/>
          </w:tcPr>
          <w:p w:rsidR="00121D3F" w:rsidRPr="00121D3F" w:rsidRDefault="00121D3F" w:rsidP="00121D3F">
            <w:pPr>
              <w:spacing w:after="0" w:line="240" w:lineRule="auto"/>
              <w:jc w:val="center"/>
              <w:rPr>
                <w:rFonts w:ascii="Times New Roman" w:eastAsia="Times New Roman" w:hAnsi="Times New Roman" w:cs="Times New Roman"/>
                <w:sz w:val="20"/>
                <w:szCs w:val="20"/>
                <w:lang w:eastAsia="fr-FR"/>
              </w:rPr>
            </w:pPr>
            <w:r w:rsidRPr="00121D3F">
              <w:rPr>
                <w:rFonts w:ascii="Times New Roman" w:eastAsia="Times New Roman" w:hAnsi="Times New Roman" w:cs="Times New Roman"/>
                <w:sz w:val="20"/>
                <w:szCs w:val="20"/>
                <w:lang w:eastAsia="fr-FR"/>
              </w:rPr>
              <w:t>2022</w:t>
            </w:r>
          </w:p>
        </w:tc>
        <w:tc>
          <w:tcPr>
            <w:tcW w:w="1418" w:type="dxa"/>
            <w:tcBorders>
              <w:top w:val="single" w:sz="4" w:space="0" w:color="auto"/>
              <w:left w:val="nil"/>
              <w:bottom w:val="single" w:sz="4" w:space="0" w:color="auto"/>
              <w:right w:val="single" w:sz="4" w:space="0" w:color="auto"/>
            </w:tcBorders>
            <w:shd w:val="clear" w:color="000000" w:fill="E2EFDA"/>
            <w:noWrap/>
            <w:vAlign w:val="bottom"/>
            <w:hideMark/>
          </w:tcPr>
          <w:p w:rsidR="00121D3F" w:rsidRPr="00121D3F" w:rsidRDefault="00121D3F" w:rsidP="00121D3F">
            <w:pPr>
              <w:spacing w:after="0" w:line="240" w:lineRule="auto"/>
              <w:jc w:val="center"/>
              <w:rPr>
                <w:rFonts w:ascii="Times New Roman" w:eastAsia="Times New Roman" w:hAnsi="Times New Roman" w:cs="Times New Roman"/>
                <w:sz w:val="20"/>
                <w:szCs w:val="20"/>
                <w:lang w:eastAsia="fr-FR"/>
              </w:rPr>
            </w:pPr>
            <w:r w:rsidRPr="00121D3F">
              <w:rPr>
                <w:rFonts w:ascii="Times New Roman" w:eastAsia="Times New Roman" w:hAnsi="Times New Roman" w:cs="Times New Roman"/>
                <w:sz w:val="20"/>
                <w:szCs w:val="20"/>
                <w:lang w:eastAsia="fr-FR"/>
              </w:rPr>
              <w:t>2023</w:t>
            </w:r>
          </w:p>
        </w:tc>
        <w:tc>
          <w:tcPr>
            <w:tcW w:w="1848" w:type="dxa"/>
            <w:tcBorders>
              <w:top w:val="single" w:sz="4" w:space="0" w:color="auto"/>
              <w:left w:val="nil"/>
              <w:bottom w:val="single" w:sz="4" w:space="0" w:color="auto"/>
              <w:right w:val="single" w:sz="4" w:space="0" w:color="auto"/>
            </w:tcBorders>
            <w:shd w:val="clear" w:color="000000" w:fill="E2EFDA"/>
            <w:noWrap/>
            <w:vAlign w:val="center"/>
            <w:hideMark/>
          </w:tcPr>
          <w:p w:rsidR="00121D3F" w:rsidRPr="00121D3F" w:rsidRDefault="00121D3F" w:rsidP="00121D3F">
            <w:pPr>
              <w:spacing w:after="0" w:line="240" w:lineRule="auto"/>
              <w:jc w:val="center"/>
              <w:rPr>
                <w:rFonts w:ascii="Times New Roman" w:eastAsia="Times New Roman" w:hAnsi="Times New Roman" w:cs="Times New Roman"/>
                <w:sz w:val="20"/>
                <w:szCs w:val="20"/>
                <w:lang w:eastAsia="fr-FR"/>
              </w:rPr>
            </w:pPr>
            <w:r w:rsidRPr="00121D3F">
              <w:rPr>
                <w:rFonts w:ascii="Times New Roman" w:eastAsia="Times New Roman" w:hAnsi="Times New Roman" w:cs="Times New Roman"/>
                <w:sz w:val="20"/>
                <w:szCs w:val="20"/>
                <w:lang w:eastAsia="fr-FR"/>
              </w:rPr>
              <w:t>Evolution 2022/2023</w:t>
            </w:r>
          </w:p>
        </w:tc>
      </w:tr>
      <w:tr w:rsidR="00121D3F" w:rsidRPr="00121D3F" w:rsidTr="00121D3F">
        <w:trPr>
          <w:trHeight w:val="255"/>
        </w:trPr>
        <w:tc>
          <w:tcPr>
            <w:tcW w:w="2830" w:type="dxa"/>
            <w:tcBorders>
              <w:top w:val="nil"/>
              <w:left w:val="single" w:sz="4" w:space="0" w:color="auto"/>
              <w:bottom w:val="single" w:sz="4" w:space="0" w:color="auto"/>
              <w:right w:val="single" w:sz="4" w:space="0" w:color="auto"/>
            </w:tcBorders>
            <w:shd w:val="clear" w:color="000000" w:fill="E2EFDA"/>
            <w:noWrap/>
            <w:hideMark/>
          </w:tcPr>
          <w:p w:rsidR="00121D3F" w:rsidRPr="00121D3F" w:rsidRDefault="00121D3F" w:rsidP="00121D3F">
            <w:pPr>
              <w:spacing w:after="0" w:line="240" w:lineRule="auto"/>
              <w:jc w:val="center"/>
              <w:rPr>
                <w:rFonts w:ascii="Times New Roman" w:eastAsia="Times New Roman" w:hAnsi="Times New Roman" w:cs="Times New Roman"/>
                <w:b/>
                <w:sz w:val="20"/>
                <w:szCs w:val="20"/>
                <w:lang w:eastAsia="fr-FR"/>
              </w:rPr>
            </w:pPr>
            <w:r w:rsidRPr="00121D3F">
              <w:rPr>
                <w:rFonts w:ascii="Times New Roman" w:eastAsia="Times New Roman" w:hAnsi="Times New Roman" w:cs="Times New Roman"/>
                <w:b/>
                <w:sz w:val="20"/>
                <w:szCs w:val="20"/>
                <w:lang w:eastAsia="fr-FR"/>
              </w:rPr>
              <w:t xml:space="preserve">Total : 011        - </w:t>
            </w:r>
            <w:r w:rsidRPr="005446D1">
              <w:rPr>
                <w:rFonts w:ascii="Times New Roman" w:eastAsia="Times New Roman" w:hAnsi="Times New Roman" w:cs="Times New Roman"/>
                <w:b/>
                <w:sz w:val="20"/>
                <w:szCs w:val="20"/>
                <w:lang w:eastAsia="fr-FR"/>
              </w:rPr>
              <w:t xml:space="preserve">charges </w:t>
            </w:r>
            <w:r w:rsidR="005446D1">
              <w:rPr>
                <w:rFonts w:ascii="Times New Roman" w:eastAsia="Times New Roman" w:hAnsi="Times New Roman" w:cs="Times New Roman"/>
                <w:b/>
                <w:sz w:val="20"/>
                <w:szCs w:val="20"/>
                <w:lang w:eastAsia="fr-FR"/>
              </w:rPr>
              <w:t>à</w:t>
            </w:r>
            <w:r w:rsidRPr="005446D1">
              <w:rPr>
                <w:rFonts w:ascii="Times New Roman" w:eastAsia="Times New Roman" w:hAnsi="Times New Roman" w:cs="Times New Roman"/>
                <w:b/>
                <w:sz w:val="20"/>
                <w:szCs w:val="20"/>
                <w:lang w:eastAsia="fr-FR"/>
              </w:rPr>
              <w:t xml:space="preserve"> caractère général</w:t>
            </w:r>
          </w:p>
        </w:tc>
        <w:tc>
          <w:tcPr>
            <w:tcW w:w="1701" w:type="dxa"/>
            <w:tcBorders>
              <w:top w:val="nil"/>
              <w:left w:val="nil"/>
              <w:bottom w:val="single" w:sz="4" w:space="0" w:color="auto"/>
              <w:right w:val="single" w:sz="4" w:space="0" w:color="auto"/>
            </w:tcBorders>
            <w:shd w:val="clear" w:color="000000" w:fill="FFFFFF"/>
            <w:noWrap/>
            <w:hideMark/>
          </w:tcPr>
          <w:p w:rsidR="00121D3F" w:rsidRDefault="00121D3F" w:rsidP="00121D3F">
            <w:pPr>
              <w:spacing w:after="0" w:line="240" w:lineRule="auto"/>
              <w:jc w:val="center"/>
              <w:rPr>
                <w:rFonts w:ascii="Times New Roman" w:eastAsia="Times New Roman" w:hAnsi="Times New Roman" w:cs="Times New Roman"/>
                <w:sz w:val="20"/>
                <w:szCs w:val="20"/>
                <w:lang w:eastAsia="fr-FR"/>
              </w:rPr>
            </w:pPr>
          </w:p>
          <w:p w:rsidR="00121D3F" w:rsidRPr="00121D3F" w:rsidRDefault="00121D3F" w:rsidP="00121D3F">
            <w:pPr>
              <w:spacing w:after="0" w:line="240" w:lineRule="auto"/>
              <w:jc w:val="center"/>
              <w:rPr>
                <w:rFonts w:ascii="Times New Roman" w:eastAsia="Times New Roman" w:hAnsi="Times New Roman" w:cs="Times New Roman"/>
                <w:sz w:val="20"/>
                <w:szCs w:val="20"/>
                <w:lang w:eastAsia="fr-FR"/>
              </w:rPr>
            </w:pPr>
            <w:r w:rsidRPr="00121D3F">
              <w:rPr>
                <w:rFonts w:ascii="Times New Roman" w:eastAsia="Times New Roman" w:hAnsi="Times New Roman" w:cs="Times New Roman"/>
                <w:sz w:val="20"/>
                <w:szCs w:val="20"/>
                <w:lang w:eastAsia="fr-FR"/>
              </w:rPr>
              <w:t>1 708 442,19</w:t>
            </w:r>
          </w:p>
        </w:tc>
        <w:tc>
          <w:tcPr>
            <w:tcW w:w="1276" w:type="dxa"/>
            <w:tcBorders>
              <w:top w:val="nil"/>
              <w:left w:val="nil"/>
              <w:bottom w:val="single" w:sz="4" w:space="0" w:color="auto"/>
              <w:right w:val="single" w:sz="4" w:space="0" w:color="auto"/>
            </w:tcBorders>
            <w:shd w:val="clear" w:color="000000" w:fill="FFFFFF"/>
            <w:noWrap/>
            <w:vAlign w:val="bottom"/>
            <w:hideMark/>
          </w:tcPr>
          <w:p w:rsidR="00121D3F" w:rsidRPr="00121D3F" w:rsidRDefault="00121D3F" w:rsidP="00121D3F">
            <w:pPr>
              <w:spacing w:after="0" w:line="240" w:lineRule="auto"/>
              <w:jc w:val="center"/>
              <w:rPr>
                <w:rFonts w:ascii="Times New Roman" w:eastAsia="Times New Roman" w:hAnsi="Times New Roman" w:cs="Times New Roman"/>
                <w:sz w:val="20"/>
                <w:szCs w:val="20"/>
                <w:lang w:eastAsia="fr-FR"/>
              </w:rPr>
            </w:pPr>
            <w:r w:rsidRPr="00121D3F">
              <w:rPr>
                <w:rFonts w:ascii="Times New Roman" w:eastAsia="Times New Roman" w:hAnsi="Times New Roman" w:cs="Times New Roman"/>
                <w:sz w:val="20"/>
                <w:szCs w:val="20"/>
                <w:lang w:eastAsia="fr-FR"/>
              </w:rPr>
              <w:t>2 200 146</w:t>
            </w:r>
          </w:p>
        </w:tc>
        <w:tc>
          <w:tcPr>
            <w:tcW w:w="1418" w:type="dxa"/>
            <w:tcBorders>
              <w:top w:val="nil"/>
              <w:left w:val="nil"/>
              <w:bottom w:val="single" w:sz="4" w:space="0" w:color="auto"/>
              <w:right w:val="single" w:sz="4" w:space="0" w:color="auto"/>
            </w:tcBorders>
            <w:shd w:val="clear" w:color="000000" w:fill="FFFFFF"/>
            <w:noWrap/>
            <w:vAlign w:val="bottom"/>
            <w:hideMark/>
          </w:tcPr>
          <w:p w:rsidR="00121D3F" w:rsidRPr="00121D3F" w:rsidRDefault="00121D3F" w:rsidP="00121D3F">
            <w:pPr>
              <w:spacing w:after="0" w:line="240" w:lineRule="auto"/>
              <w:jc w:val="center"/>
              <w:rPr>
                <w:rFonts w:ascii="Times New Roman" w:eastAsia="Times New Roman" w:hAnsi="Times New Roman" w:cs="Times New Roman"/>
                <w:sz w:val="20"/>
                <w:szCs w:val="20"/>
                <w:lang w:eastAsia="fr-FR"/>
              </w:rPr>
            </w:pPr>
            <w:r w:rsidRPr="00121D3F">
              <w:rPr>
                <w:rFonts w:ascii="Times New Roman" w:eastAsia="Times New Roman" w:hAnsi="Times New Roman" w:cs="Times New Roman"/>
                <w:sz w:val="20"/>
                <w:szCs w:val="20"/>
                <w:lang w:eastAsia="fr-FR"/>
              </w:rPr>
              <w:t>2 246</w:t>
            </w:r>
            <w:r>
              <w:rPr>
                <w:rFonts w:ascii="Times New Roman" w:eastAsia="Times New Roman" w:hAnsi="Times New Roman" w:cs="Times New Roman"/>
                <w:sz w:val="20"/>
                <w:szCs w:val="20"/>
                <w:lang w:eastAsia="fr-FR"/>
              </w:rPr>
              <w:t> </w:t>
            </w:r>
            <w:r w:rsidRPr="00121D3F">
              <w:rPr>
                <w:rFonts w:ascii="Times New Roman" w:eastAsia="Times New Roman" w:hAnsi="Times New Roman" w:cs="Times New Roman"/>
                <w:sz w:val="20"/>
                <w:szCs w:val="20"/>
                <w:lang w:eastAsia="fr-FR"/>
              </w:rPr>
              <w:t>175</w:t>
            </w:r>
          </w:p>
        </w:tc>
        <w:tc>
          <w:tcPr>
            <w:tcW w:w="1848" w:type="dxa"/>
            <w:tcBorders>
              <w:top w:val="nil"/>
              <w:left w:val="nil"/>
              <w:bottom w:val="single" w:sz="4" w:space="0" w:color="auto"/>
              <w:right w:val="single" w:sz="4" w:space="0" w:color="auto"/>
            </w:tcBorders>
            <w:shd w:val="clear" w:color="000000" w:fill="FFFFFF"/>
            <w:noWrap/>
            <w:vAlign w:val="center"/>
            <w:hideMark/>
          </w:tcPr>
          <w:p w:rsidR="00121D3F" w:rsidRDefault="00121D3F" w:rsidP="00121D3F">
            <w:pPr>
              <w:spacing w:after="0" w:line="240" w:lineRule="auto"/>
              <w:jc w:val="center"/>
              <w:rPr>
                <w:rFonts w:ascii="Times New Roman" w:eastAsia="Times New Roman" w:hAnsi="Times New Roman" w:cs="Times New Roman"/>
                <w:sz w:val="20"/>
                <w:szCs w:val="20"/>
                <w:lang w:eastAsia="fr-FR"/>
              </w:rPr>
            </w:pPr>
          </w:p>
          <w:p w:rsidR="00121D3F" w:rsidRPr="00121D3F" w:rsidRDefault="00121D3F" w:rsidP="00121D3F">
            <w:pPr>
              <w:spacing w:after="0" w:line="240" w:lineRule="auto"/>
              <w:jc w:val="center"/>
              <w:rPr>
                <w:rFonts w:ascii="Times New Roman" w:eastAsia="Times New Roman" w:hAnsi="Times New Roman" w:cs="Times New Roman"/>
                <w:sz w:val="20"/>
                <w:szCs w:val="20"/>
                <w:lang w:eastAsia="fr-FR"/>
              </w:rPr>
            </w:pPr>
            <w:r w:rsidRPr="00121D3F">
              <w:rPr>
                <w:rFonts w:ascii="Times New Roman" w:eastAsia="Times New Roman" w:hAnsi="Times New Roman" w:cs="Times New Roman"/>
                <w:sz w:val="20"/>
                <w:szCs w:val="20"/>
                <w:lang w:eastAsia="fr-FR"/>
              </w:rPr>
              <w:t>2,09%</w:t>
            </w:r>
          </w:p>
        </w:tc>
      </w:tr>
    </w:tbl>
    <w:p w:rsidR="00121D3F" w:rsidRDefault="00121D3F" w:rsidP="00121D3F">
      <w:pPr>
        <w:rPr>
          <w:rFonts w:ascii="Times New Roman" w:hAnsi="Times New Roman" w:cs="Times New Roman"/>
        </w:rPr>
      </w:pPr>
    </w:p>
    <w:p w:rsidR="00121D3F" w:rsidRDefault="00121D3F" w:rsidP="00AE700E">
      <w:pPr>
        <w:jc w:val="both"/>
        <w:rPr>
          <w:rFonts w:ascii="Times New Roman" w:hAnsi="Times New Roman" w:cs="Times New Roman"/>
        </w:rPr>
      </w:pPr>
      <w:r>
        <w:rPr>
          <w:rFonts w:ascii="Times New Roman" w:hAnsi="Times New Roman" w:cs="Times New Roman"/>
        </w:rPr>
        <w:t>Les charges à caractère général évoluent de 2% par rapport à 2022. Cette évolution est freinée par le transfert des phares à l’office de tourisme.</w:t>
      </w:r>
      <w:r w:rsidR="00A079E4">
        <w:rPr>
          <w:rFonts w:ascii="Times New Roman" w:hAnsi="Times New Roman" w:cs="Times New Roman"/>
        </w:rPr>
        <w:t xml:space="preserve"> Cette croissance s’explique pour l’essentiel par l’augmentation des charges d’électricité qui sont passées de 64 K€ en 2022 à 129 K€ en 2023 soit </w:t>
      </w:r>
      <w:r w:rsidR="00AE700E">
        <w:rPr>
          <w:rFonts w:ascii="Times New Roman" w:hAnsi="Times New Roman" w:cs="Times New Roman"/>
        </w:rPr>
        <w:t xml:space="preserve">+ 65 K€. </w:t>
      </w:r>
    </w:p>
    <w:p w:rsidR="00AE700E" w:rsidRPr="00121D3F" w:rsidRDefault="00AE700E" w:rsidP="00AE700E">
      <w:pPr>
        <w:jc w:val="both"/>
        <w:rPr>
          <w:rFonts w:ascii="Times New Roman" w:hAnsi="Times New Roman" w:cs="Times New Roman"/>
        </w:rPr>
      </w:pPr>
      <w:r>
        <w:rPr>
          <w:rFonts w:ascii="Times New Roman" w:hAnsi="Times New Roman" w:cs="Times New Roman"/>
        </w:rPr>
        <w:t>Cette évolution des dépenses de charges à caractère général a été atténuée par la baisse des charges d’achats de carburants qui sont passées de 204 K€ en 2022 à 173 K€ soit – 31 K€ (-15%).</w:t>
      </w:r>
    </w:p>
    <w:p w:rsidR="00FE30A4" w:rsidRPr="00D85913" w:rsidRDefault="00FE30A4" w:rsidP="00FE30A4">
      <w:pPr>
        <w:jc w:val="both"/>
        <w:rPr>
          <w:b/>
          <w:highlight w:val="yellow"/>
        </w:rPr>
      </w:pPr>
      <w:r w:rsidRPr="00D85913">
        <w:rPr>
          <w:b/>
        </w:rPr>
        <w:t xml:space="preserve">Evolution de la masse salariale </w:t>
      </w:r>
      <w:r w:rsidR="005446D1">
        <w:rPr>
          <w:b/>
        </w:rPr>
        <w:t>(chap. 012)</w:t>
      </w:r>
    </w:p>
    <w:p w:rsidR="00FE30A4" w:rsidRDefault="00FE30A4" w:rsidP="00FE30A4">
      <w:pPr>
        <w:jc w:val="both"/>
      </w:pPr>
      <w:r>
        <w:t>Le tableau ci-dessous présente l’évolution de la masse salariale globale (le budget principal facturant par exemple au budget déchets les agents publics affectés à ces missions, idem pour le budget de l’assainissement, etc.)</w:t>
      </w:r>
      <w:r w:rsidR="00AE6443">
        <w:t>.</w:t>
      </w:r>
    </w:p>
    <w:tbl>
      <w:tblPr>
        <w:tblW w:w="9072" w:type="dxa"/>
        <w:tblInd w:w="-10" w:type="dxa"/>
        <w:tblLayout w:type="fixed"/>
        <w:tblCellMar>
          <w:left w:w="70" w:type="dxa"/>
          <w:right w:w="70" w:type="dxa"/>
        </w:tblCellMar>
        <w:tblLook w:val="04A0" w:firstRow="1" w:lastRow="0" w:firstColumn="1" w:lastColumn="0" w:noHBand="0" w:noVBand="1"/>
      </w:tblPr>
      <w:tblGrid>
        <w:gridCol w:w="3261"/>
        <w:gridCol w:w="1842"/>
        <w:gridCol w:w="2127"/>
        <w:gridCol w:w="1842"/>
      </w:tblGrid>
      <w:tr w:rsidR="00D85913" w:rsidRPr="00FE30A4" w:rsidTr="00D85913">
        <w:trPr>
          <w:trHeight w:val="315"/>
        </w:trPr>
        <w:tc>
          <w:tcPr>
            <w:tcW w:w="3261" w:type="dxa"/>
            <w:tcBorders>
              <w:top w:val="single" w:sz="8" w:space="0" w:color="auto"/>
              <w:left w:val="single" w:sz="8" w:space="0" w:color="auto"/>
              <w:bottom w:val="single" w:sz="8" w:space="0" w:color="auto"/>
              <w:right w:val="single" w:sz="8" w:space="0" w:color="auto"/>
            </w:tcBorders>
            <w:shd w:val="clear" w:color="000000" w:fill="D5DCE4"/>
            <w:vAlign w:val="center"/>
            <w:hideMark/>
          </w:tcPr>
          <w:p w:rsidR="00FE30A4" w:rsidRPr="00F47BF7" w:rsidRDefault="00FE30A4" w:rsidP="00FE30A4">
            <w:pPr>
              <w:spacing w:after="0" w:line="240" w:lineRule="auto"/>
              <w:jc w:val="both"/>
              <w:rPr>
                <w:rFonts w:ascii="Times New Roman" w:eastAsia="Times New Roman" w:hAnsi="Times New Roman" w:cs="Times New Roman"/>
                <w:b/>
                <w:bCs/>
                <w:lang w:eastAsia="fr-FR"/>
              </w:rPr>
            </w:pPr>
            <w:r w:rsidRPr="00F47BF7">
              <w:rPr>
                <w:rFonts w:ascii="Times New Roman" w:eastAsia="Times New Roman" w:hAnsi="Times New Roman" w:cs="Times New Roman"/>
                <w:b/>
                <w:bCs/>
                <w:lang w:eastAsia="fr-FR"/>
              </w:rPr>
              <w:t> </w:t>
            </w:r>
          </w:p>
        </w:tc>
        <w:tc>
          <w:tcPr>
            <w:tcW w:w="1842" w:type="dxa"/>
            <w:tcBorders>
              <w:top w:val="single" w:sz="8" w:space="0" w:color="auto"/>
              <w:left w:val="nil"/>
              <w:bottom w:val="single" w:sz="8" w:space="0" w:color="auto"/>
              <w:right w:val="single" w:sz="8" w:space="0" w:color="auto"/>
            </w:tcBorders>
            <w:shd w:val="clear" w:color="000000" w:fill="D5DCE4"/>
            <w:vAlign w:val="center"/>
            <w:hideMark/>
          </w:tcPr>
          <w:p w:rsidR="00FE30A4" w:rsidRPr="00F47BF7" w:rsidRDefault="00FE30A4" w:rsidP="00FE30A4">
            <w:pPr>
              <w:spacing w:after="0" w:line="240" w:lineRule="auto"/>
              <w:jc w:val="center"/>
              <w:rPr>
                <w:rFonts w:ascii="Times New Roman" w:eastAsia="Times New Roman" w:hAnsi="Times New Roman" w:cs="Times New Roman"/>
                <w:b/>
                <w:bCs/>
                <w:lang w:eastAsia="fr-FR"/>
              </w:rPr>
            </w:pPr>
            <w:r w:rsidRPr="00F47BF7">
              <w:rPr>
                <w:rFonts w:ascii="Times New Roman" w:eastAsia="Times New Roman" w:hAnsi="Times New Roman" w:cs="Times New Roman"/>
                <w:b/>
                <w:bCs/>
                <w:lang w:eastAsia="fr-FR"/>
              </w:rPr>
              <w:t>CA 2021</w:t>
            </w:r>
          </w:p>
        </w:tc>
        <w:tc>
          <w:tcPr>
            <w:tcW w:w="2127" w:type="dxa"/>
            <w:tcBorders>
              <w:top w:val="single" w:sz="8" w:space="0" w:color="auto"/>
              <w:left w:val="nil"/>
              <w:bottom w:val="single" w:sz="8" w:space="0" w:color="auto"/>
              <w:right w:val="single" w:sz="8" w:space="0" w:color="auto"/>
            </w:tcBorders>
            <w:shd w:val="clear" w:color="000000" w:fill="D5DCE4"/>
            <w:vAlign w:val="center"/>
            <w:hideMark/>
          </w:tcPr>
          <w:p w:rsidR="00FE30A4" w:rsidRPr="00F47BF7" w:rsidRDefault="00FE30A4" w:rsidP="00FE30A4">
            <w:pPr>
              <w:spacing w:after="0" w:line="240" w:lineRule="auto"/>
              <w:jc w:val="center"/>
              <w:rPr>
                <w:rFonts w:ascii="Times New Roman" w:eastAsia="Times New Roman" w:hAnsi="Times New Roman" w:cs="Times New Roman"/>
                <w:b/>
                <w:bCs/>
                <w:lang w:eastAsia="fr-FR"/>
              </w:rPr>
            </w:pPr>
            <w:r w:rsidRPr="00F47BF7">
              <w:rPr>
                <w:rFonts w:ascii="Times New Roman" w:eastAsia="Times New Roman" w:hAnsi="Times New Roman" w:cs="Times New Roman"/>
                <w:b/>
                <w:bCs/>
                <w:lang w:eastAsia="fr-FR"/>
              </w:rPr>
              <w:t>CA 2022</w:t>
            </w:r>
          </w:p>
        </w:tc>
        <w:tc>
          <w:tcPr>
            <w:tcW w:w="1842" w:type="dxa"/>
            <w:tcBorders>
              <w:top w:val="single" w:sz="8" w:space="0" w:color="auto"/>
              <w:left w:val="nil"/>
              <w:bottom w:val="single" w:sz="8" w:space="0" w:color="auto"/>
              <w:right w:val="single" w:sz="8" w:space="0" w:color="auto"/>
            </w:tcBorders>
            <w:shd w:val="clear" w:color="000000" w:fill="D5DCE4"/>
            <w:vAlign w:val="center"/>
            <w:hideMark/>
          </w:tcPr>
          <w:p w:rsidR="00FE30A4" w:rsidRPr="00F47BF7" w:rsidRDefault="00FE30A4" w:rsidP="00FE30A4">
            <w:pPr>
              <w:spacing w:after="0" w:line="240" w:lineRule="auto"/>
              <w:jc w:val="center"/>
              <w:rPr>
                <w:rFonts w:ascii="Times New Roman" w:eastAsia="Times New Roman" w:hAnsi="Times New Roman" w:cs="Times New Roman"/>
                <w:b/>
                <w:bCs/>
                <w:lang w:eastAsia="fr-FR"/>
              </w:rPr>
            </w:pPr>
            <w:r w:rsidRPr="00F47BF7">
              <w:rPr>
                <w:rFonts w:ascii="Times New Roman" w:eastAsia="Times New Roman" w:hAnsi="Times New Roman" w:cs="Times New Roman"/>
                <w:b/>
                <w:bCs/>
                <w:lang w:eastAsia="fr-FR"/>
              </w:rPr>
              <w:t>CA 2023</w:t>
            </w:r>
          </w:p>
        </w:tc>
      </w:tr>
      <w:tr w:rsidR="00D85913" w:rsidRPr="00FE30A4" w:rsidTr="00D85913">
        <w:trPr>
          <w:trHeight w:val="315"/>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both"/>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Budget principal</w:t>
            </w:r>
          </w:p>
        </w:tc>
        <w:tc>
          <w:tcPr>
            <w:tcW w:w="1842" w:type="dxa"/>
            <w:tcBorders>
              <w:top w:val="nil"/>
              <w:left w:val="nil"/>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5 503 971   </w:t>
            </w:r>
          </w:p>
        </w:tc>
        <w:tc>
          <w:tcPr>
            <w:tcW w:w="2127" w:type="dxa"/>
            <w:tcBorders>
              <w:top w:val="nil"/>
              <w:left w:val="nil"/>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5 802 562   </w:t>
            </w:r>
          </w:p>
        </w:tc>
        <w:tc>
          <w:tcPr>
            <w:tcW w:w="1842" w:type="dxa"/>
            <w:tcBorders>
              <w:top w:val="nil"/>
              <w:left w:val="nil"/>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5 670 301   </w:t>
            </w:r>
          </w:p>
        </w:tc>
      </w:tr>
      <w:tr w:rsidR="00D85913" w:rsidRPr="00FE30A4" w:rsidTr="00D85913">
        <w:trPr>
          <w:trHeight w:val="315"/>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both"/>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Budget déchets</w:t>
            </w:r>
          </w:p>
        </w:tc>
        <w:tc>
          <w:tcPr>
            <w:tcW w:w="1842" w:type="dxa"/>
            <w:tcBorders>
              <w:top w:val="nil"/>
              <w:left w:val="nil"/>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826 043   </w:t>
            </w:r>
          </w:p>
        </w:tc>
        <w:tc>
          <w:tcPr>
            <w:tcW w:w="2127" w:type="dxa"/>
            <w:tcBorders>
              <w:top w:val="nil"/>
              <w:left w:val="nil"/>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903 100   </w:t>
            </w:r>
          </w:p>
        </w:tc>
        <w:tc>
          <w:tcPr>
            <w:tcW w:w="1842" w:type="dxa"/>
            <w:tcBorders>
              <w:top w:val="nil"/>
              <w:left w:val="nil"/>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984 185   </w:t>
            </w:r>
          </w:p>
        </w:tc>
      </w:tr>
      <w:tr w:rsidR="00D85913" w:rsidRPr="00FE30A4" w:rsidTr="00F47BF7">
        <w:trPr>
          <w:trHeight w:val="306"/>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both"/>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Budgets eau et assainissement</w:t>
            </w:r>
          </w:p>
        </w:tc>
        <w:tc>
          <w:tcPr>
            <w:tcW w:w="1842" w:type="dxa"/>
            <w:tcBorders>
              <w:top w:val="nil"/>
              <w:left w:val="nil"/>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510 559   </w:t>
            </w:r>
          </w:p>
        </w:tc>
        <w:tc>
          <w:tcPr>
            <w:tcW w:w="2127" w:type="dxa"/>
            <w:tcBorders>
              <w:top w:val="nil"/>
              <w:left w:val="nil"/>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829 226   </w:t>
            </w:r>
          </w:p>
        </w:tc>
        <w:tc>
          <w:tcPr>
            <w:tcW w:w="1842" w:type="dxa"/>
            <w:tcBorders>
              <w:top w:val="nil"/>
              <w:left w:val="nil"/>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1 031 680   </w:t>
            </w:r>
          </w:p>
        </w:tc>
      </w:tr>
      <w:tr w:rsidR="00D85913" w:rsidRPr="00FE30A4" w:rsidTr="00D85913">
        <w:trPr>
          <w:trHeight w:val="315"/>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both"/>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Budget EMI</w:t>
            </w:r>
          </w:p>
        </w:tc>
        <w:tc>
          <w:tcPr>
            <w:tcW w:w="1842" w:type="dxa"/>
            <w:tcBorders>
              <w:top w:val="nil"/>
              <w:left w:val="nil"/>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443 559   </w:t>
            </w:r>
          </w:p>
        </w:tc>
        <w:tc>
          <w:tcPr>
            <w:tcW w:w="2127" w:type="dxa"/>
            <w:tcBorders>
              <w:top w:val="nil"/>
              <w:left w:val="nil"/>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482 355   </w:t>
            </w:r>
          </w:p>
        </w:tc>
        <w:tc>
          <w:tcPr>
            <w:tcW w:w="1842" w:type="dxa"/>
            <w:tcBorders>
              <w:top w:val="nil"/>
              <w:left w:val="nil"/>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513 312   </w:t>
            </w:r>
          </w:p>
        </w:tc>
      </w:tr>
      <w:tr w:rsidR="00D85913" w:rsidRPr="00FE30A4" w:rsidTr="00D85913">
        <w:trPr>
          <w:trHeight w:val="315"/>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both"/>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Budget Nautisme</w:t>
            </w:r>
          </w:p>
        </w:tc>
        <w:tc>
          <w:tcPr>
            <w:tcW w:w="1842" w:type="dxa"/>
            <w:tcBorders>
              <w:top w:val="nil"/>
              <w:left w:val="nil"/>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505 985   </w:t>
            </w:r>
          </w:p>
        </w:tc>
        <w:tc>
          <w:tcPr>
            <w:tcW w:w="2127" w:type="dxa"/>
            <w:tcBorders>
              <w:top w:val="nil"/>
              <w:left w:val="nil"/>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529 733   </w:t>
            </w:r>
          </w:p>
        </w:tc>
        <w:tc>
          <w:tcPr>
            <w:tcW w:w="1842" w:type="dxa"/>
            <w:tcBorders>
              <w:top w:val="nil"/>
              <w:left w:val="nil"/>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550 291   </w:t>
            </w:r>
          </w:p>
        </w:tc>
      </w:tr>
      <w:tr w:rsidR="00D85913" w:rsidRPr="00FE30A4" w:rsidTr="00D85913">
        <w:trPr>
          <w:trHeight w:val="315"/>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both"/>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Budget Port</w:t>
            </w:r>
          </w:p>
        </w:tc>
        <w:tc>
          <w:tcPr>
            <w:tcW w:w="1842" w:type="dxa"/>
            <w:tcBorders>
              <w:top w:val="nil"/>
              <w:left w:val="nil"/>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56 986   </w:t>
            </w:r>
          </w:p>
        </w:tc>
        <w:tc>
          <w:tcPr>
            <w:tcW w:w="2127" w:type="dxa"/>
            <w:tcBorders>
              <w:top w:val="nil"/>
              <w:left w:val="nil"/>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64 463   </w:t>
            </w:r>
          </w:p>
        </w:tc>
        <w:tc>
          <w:tcPr>
            <w:tcW w:w="1842" w:type="dxa"/>
            <w:tcBorders>
              <w:top w:val="nil"/>
              <w:left w:val="nil"/>
              <w:bottom w:val="single" w:sz="8" w:space="0" w:color="auto"/>
              <w:right w:val="single" w:sz="8" w:space="0" w:color="auto"/>
            </w:tcBorders>
            <w:shd w:val="clear" w:color="auto" w:fill="auto"/>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54 610   </w:t>
            </w:r>
          </w:p>
        </w:tc>
      </w:tr>
      <w:tr w:rsidR="00D85913" w:rsidRPr="00FE30A4" w:rsidTr="00D85913">
        <w:trPr>
          <w:trHeight w:val="300"/>
        </w:trPr>
        <w:tc>
          <w:tcPr>
            <w:tcW w:w="3261" w:type="dxa"/>
            <w:tcBorders>
              <w:top w:val="nil"/>
              <w:left w:val="single" w:sz="8" w:space="0" w:color="auto"/>
              <w:bottom w:val="nil"/>
              <w:right w:val="single" w:sz="8" w:space="0" w:color="auto"/>
            </w:tcBorders>
            <w:shd w:val="clear" w:color="000000" w:fill="D5DCE4"/>
            <w:vAlign w:val="center"/>
            <w:hideMark/>
          </w:tcPr>
          <w:p w:rsidR="00FE30A4" w:rsidRPr="00F47BF7" w:rsidRDefault="00FE30A4" w:rsidP="00FE30A4">
            <w:pPr>
              <w:spacing w:after="0" w:line="240" w:lineRule="auto"/>
              <w:jc w:val="both"/>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Total</w:t>
            </w:r>
          </w:p>
        </w:tc>
        <w:tc>
          <w:tcPr>
            <w:tcW w:w="1842" w:type="dxa"/>
            <w:tcBorders>
              <w:top w:val="nil"/>
              <w:left w:val="nil"/>
              <w:bottom w:val="nil"/>
              <w:right w:val="single" w:sz="8" w:space="0" w:color="auto"/>
            </w:tcBorders>
            <w:shd w:val="clear" w:color="000000" w:fill="D5DCE4"/>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7 847 103   </w:t>
            </w:r>
          </w:p>
        </w:tc>
        <w:tc>
          <w:tcPr>
            <w:tcW w:w="2127" w:type="dxa"/>
            <w:tcBorders>
              <w:top w:val="nil"/>
              <w:left w:val="nil"/>
              <w:bottom w:val="nil"/>
              <w:right w:val="single" w:sz="8" w:space="0" w:color="auto"/>
            </w:tcBorders>
            <w:shd w:val="clear" w:color="000000" w:fill="D5DCE4"/>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8 611 439   </w:t>
            </w:r>
          </w:p>
        </w:tc>
        <w:tc>
          <w:tcPr>
            <w:tcW w:w="1842" w:type="dxa"/>
            <w:tcBorders>
              <w:top w:val="nil"/>
              <w:left w:val="nil"/>
              <w:bottom w:val="nil"/>
              <w:right w:val="single" w:sz="8" w:space="0" w:color="auto"/>
            </w:tcBorders>
            <w:shd w:val="clear" w:color="000000" w:fill="D5DCE4"/>
            <w:vAlign w:val="center"/>
            <w:hideMark/>
          </w:tcPr>
          <w:p w:rsidR="00FE30A4" w:rsidRPr="00F47BF7" w:rsidRDefault="00FE30A4" w:rsidP="00FE30A4">
            <w:pPr>
              <w:spacing w:after="0" w:line="240" w:lineRule="auto"/>
              <w:jc w:val="right"/>
              <w:rPr>
                <w:rFonts w:ascii="Times New Roman" w:eastAsia="Times New Roman" w:hAnsi="Times New Roman" w:cs="Times New Roman"/>
                <w:lang w:eastAsia="fr-FR"/>
              </w:rPr>
            </w:pPr>
            <w:r w:rsidRPr="00F47BF7">
              <w:rPr>
                <w:rFonts w:ascii="Times New Roman" w:eastAsia="Times New Roman" w:hAnsi="Times New Roman" w:cs="Times New Roman"/>
                <w:lang w:eastAsia="fr-FR"/>
              </w:rPr>
              <w:t xml:space="preserve">              8 804 379   </w:t>
            </w:r>
          </w:p>
        </w:tc>
      </w:tr>
      <w:tr w:rsidR="00D85913" w:rsidRPr="00FE30A4" w:rsidTr="00D85913">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FE30A4" w:rsidRPr="00F47BF7" w:rsidRDefault="00FE30A4" w:rsidP="00FE30A4">
            <w:pPr>
              <w:spacing w:after="0" w:line="240" w:lineRule="auto"/>
              <w:jc w:val="center"/>
              <w:rPr>
                <w:rFonts w:ascii="Times New Roman" w:eastAsia="Times New Roman" w:hAnsi="Times New Roman" w:cs="Times New Roman"/>
                <w:i/>
                <w:lang w:eastAsia="fr-FR"/>
              </w:rPr>
            </w:pPr>
            <w:r w:rsidRPr="00F47BF7">
              <w:rPr>
                <w:rFonts w:ascii="Times New Roman" w:eastAsia="Times New Roman" w:hAnsi="Times New Roman" w:cs="Times New Roman"/>
                <w:i/>
                <w:lang w:eastAsia="fr-FR"/>
              </w:rPr>
              <w:t>Evolution globale</w:t>
            </w:r>
          </w:p>
        </w:tc>
        <w:tc>
          <w:tcPr>
            <w:tcW w:w="1842" w:type="dxa"/>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rsidR="00FE30A4" w:rsidRPr="00F47BF7" w:rsidRDefault="00FE30A4" w:rsidP="00FE30A4">
            <w:pPr>
              <w:spacing w:after="0" w:line="240" w:lineRule="auto"/>
              <w:jc w:val="center"/>
              <w:rPr>
                <w:rFonts w:ascii="Times New Roman" w:eastAsia="Times New Roman" w:hAnsi="Times New Roman" w:cs="Times New Roman"/>
                <w:i/>
                <w:sz w:val="20"/>
                <w:szCs w:val="20"/>
                <w:lang w:eastAsia="fr-FR"/>
              </w:rPr>
            </w:pPr>
            <w:r w:rsidRPr="00F47BF7">
              <w:rPr>
                <w:rFonts w:ascii="Times New Roman" w:eastAsia="Times New Roman" w:hAnsi="Times New Roman" w:cs="Times New Roman"/>
                <w:i/>
                <w:sz w:val="20"/>
                <w:szCs w:val="20"/>
                <w:lang w:eastAsia="fr-FR"/>
              </w:rPr>
              <w:t> </w:t>
            </w:r>
          </w:p>
        </w:tc>
        <w:tc>
          <w:tcPr>
            <w:tcW w:w="2127" w:type="dxa"/>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rsidR="00FE30A4" w:rsidRPr="00F47BF7" w:rsidRDefault="00FE30A4" w:rsidP="00FE30A4">
            <w:pPr>
              <w:spacing w:after="0" w:line="240" w:lineRule="auto"/>
              <w:jc w:val="center"/>
              <w:rPr>
                <w:rFonts w:ascii="Times New Roman" w:eastAsia="Times New Roman" w:hAnsi="Times New Roman" w:cs="Times New Roman"/>
                <w:i/>
                <w:sz w:val="20"/>
                <w:szCs w:val="20"/>
                <w:lang w:eastAsia="fr-FR"/>
              </w:rPr>
            </w:pPr>
            <w:r w:rsidRPr="00F47BF7">
              <w:rPr>
                <w:rFonts w:ascii="Times New Roman" w:eastAsia="Times New Roman" w:hAnsi="Times New Roman" w:cs="Times New Roman"/>
                <w:i/>
                <w:sz w:val="20"/>
                <w:szCs w:val="20"/>
                <w:lang w:eastAsia="fr-FR"/>
              </w:rPr>
              <w:t>9,7%</w:t>
            </w:r>
          </w:p>
        </w:tc>
        <w:tc>
          <w:tcPr>
            <w:tcW w:w="1842" w:type="dxa"/>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rsidR="00FE30A4" w:rsidRPr="00F47BF7" w:rsidRDefault="00FE30A4" w:rsidP="00FE30A4">
            <w:pPr>
              <w:spacing w:after="0" w:line="240" w:lineRule="auto"/>
              <w:jc w:val="center"/>
              <w:rPr>
                <w:rFonts w:ascii="Times New Roman" w:eastAsia="Times New Roman" w:hAnsi="Times New Roman" w:cs="Times New Roman"/>
                <w:i/>
                <w:sz w:val="20"/>
                <w:szCs w:val="20"/>
                <w:lang w:eastAsia="fr-FR"/>
              </w:rPr>
            </w:pPr>
            <w:r w:rsidRPr="00F47BF7">
              <w:rPr>
                <w:rFonts w:ascii="Times New Roman" w:eastAsia="Times New Roman" w:hAnsi="Times New Roman" w:cs="Times New Roman"/>
                <w:i/>
                <w:sz w:val="20"/>
                <w:szCs w:val="20"/>
                <w:lang w:eastAsia="fr-FR"/>
              </w:rPr>
              <w:t>2,2%</w:t>
            </w:r>
          </w:p>
        </w:tc>
      </w:tr>
    </w:tbl>
    <w:p w:rsidR="00273D51" w:rsidRDefault="00273D51" w:rsidP="00273D51">
      <w:pPr>
        <w:jc w:val="both"/>
        <w:rPr>
          <w:b/>
          <w:u w:val="single"/>
        </w:rPr>
      </w:pPr>
      <w:r>
        <w:rPr>
          <w:b/>
          <w:u w:val="single"/>
        </w:rPr>
        <w:t>2-2 : LES PRODUITS DE FONCTIONNEMENT</w:t>
      </w:r>
    </w:p>
    <w:p w:rsidR="00A839BF" w:rsidRDefault="00A839BF" w:rsidP="00273D51">
      <w:pPr>
        <w:jc w:val="both"/>
      </w:pPr>
      <w:r>
        <w:t>Les produits de fonctionnement ont représenté un volume de 20 455 665 € en 2023, en progression sensible par rapport à 2022 (19 804 443 € soit + 3.29%) mais bien moindre que le taux d’inflation 2023 (</w:t>
      </w:r>
      <w:r w:rsidR="007E327C">
        <w:t>4</w:t>
      </w:r>
      <w:r>
        <w:t>.9%).</w:t>
      </w:r>
    </w:p>
    <w:p w:rsidR="00273D51" w:rsidRDefault="00273D51" w:rsidP="00273D51">
      <w:pPr>
        <w:jc w:val="both"/>
      </w:pPr>
      <w:r w:rsidRPr="00273D51">
        <w:t xml:space="preserve">Les taux d’imposition votés en 2023 sont inchangés par rapport aux années antérieures. Cela étant, le produit fiscal </w:t>
      </w:r>
      <w:r>
        <w:t xml:space="preserve">évolue positivement en raison de la conjugaison de deux facteurs : </w:t>
      </w:r>
    </w:p>
    <w:p w:rsidR="00A839BF" w:rsidRDefault="00A839BF" w:rsidP="00A839BF">
      <w:pPr>
        <w:pStyle w:val="Paragraphedeliste"/>
        <w:numPr>
          <w:ilvl w:val="0"/>
          <w:numId w:val="1"/>
        </w:numPr>
        <w:jc w:val="both"/>
      </w:pPr>
      <w:r>
        <w:t>La revalorisation forfaitaire des bases d’imposition</w:t>
      </w:r>
    </w:p>
    <w:p w:rsidR="00A839BF" w:rsidRPr="00273D51" w:rsidRDefault="00A839BF" w:rsidP="00A839BF">
      <w:pPr>
        <w:pStyle w:val="Paragraphedeliste"/>
        <w:numPr>
          <w:ilvl w:val="0"/>
          <w:numId w:val="1"/>
        </w:numPr>
        <w:jc w:val="both"/>
      </w:pPr>
      <w:r>
        <w:t>La variation physique des bases</w:t>
      </w:r>
    </w:p>
    <w:p w:rsidR="00273D51" w:rsidRDefault="00273D51" w:rsidP="00273D51">
      <w:pPr>
        <w:jc w:val="both"/>
        <w:rPr>
          <w:b/>
          <w:u w:val="single"/>
        </w:rPr>
      </w:pPr>
    </w:p>
    <w:p w:rsidR="00A839BF" w:rsidRDefault="00A839BF" w:rsidP="00A839BF">
      <w:pPr>
        <w:jc w:val="center"/>
        <w:rPr>
          <w:b/>
          <w:u w:val="single"/>
        </w:rPr>
      </w:pPr>
      <w:r w:rsidRPr="00A839BF">
        <w:rPr>
          <w:noProof/>
          <w:lang w:eastAsia="fr-FR"/>
        </w:rPr>
        <w:drawing>
          <wp:inline distT="0" distB="0" distL="0" distR="0">
            <wp:extent cx="4055745" cy="2922905"/>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5745" cy="2922905"/>
                    </a:xfrm>
                    <a:prstGeom prst="rect">
                      <a:avLst/>
                    </a:prstGeom>
                    <a:noFill/>
                    <a:ln>
                      <a:noFill/>
                    </a:ln>
                  </pic:spPr>
                </pic:pic>
              </a:graphicData>
            </a:graphic>
          </wp:inline>
        </w:drawing>
      </w:r>
    </w:p>
    <w:p w:rsidR="00A839BF" w:rsidRDefault="00A839BF" w:rsidP="00273D51">
      <w:pPr>
        <w:jc w:val="both"/>
        <w:rPr>
          <w:b/>
          <w:u w:val="single"/>
        </w:rPr>
      </w:pPr>
    </w:p>
    <w:p w:rsidR="006D25D5" w:rsidRDefault="006D25D5" w:rsidP="00273D51">
      <w:pPr>
        <w:jc w:val="both"/>
        <w:rPr>
          <w:b/>
          <w:u w:val="single"/>
        </w:rPr>
      </w:pPr>
    </w:p>
    <w:p w:rsidR="00F47BF7" w:rsidRDefault="00121D3F" w:rsidP="00273D51">
      <w:pPr>
        <w:jc w:val="both"/>
      </w:pPr>
      <w:r w:rsidRPr="00B7429F">
        <w:t xml:space="preserve">Les dotations de l’Etat </w:t>
      </w:r>
      <w:r w:rsidR="00B7429F" w:rsidRPr="00B7429F">
        <w:t>restent globalement stables</w:t>
      </w:r>
      <w:r w:rsidR="00F47BF7">
        <w:t xml:space="preserve">. </w:t>
      </w:r>
    </w:p>
    <w:p w:rsidR="00121D3F" w:rsidRPr="00B7429F" w:rsidRDefault="00F47BF7" w:rsidP="00273D51">
      <w:pPr>
        <w:jc w:val="both"/>
      </w:pPr>
      <w:r>
        <w:t>A souligner que les recettes liées aux deux postes impôts et taxes d’une part et fiscalité locale d’autre part ont été plus faibles que l’inscription budgétaire en raison d’une régularisation de TVA de 62 K€.</w:t>
      </w:r>
    </w:p>
    <w:p w:rsidR="00121D3F" w:rsidRDefault="00121D3F" w:rsidP="00273D51">
      <w:pPr>
        <w:jc w:val="both"/>
        <w:rPr>
          <w:b/>
          <w:u w:val="single"/>
        </w:rPr>
      </w:pPr>
    </w:p>
    <w:p w:rsidR="00273D51" w:rsidRDefault="00273D51" w:rsidP="00273D51">
      <w:pPr>
        <w:jc w:val="both"/>
        <w:rPr>
          <w:b/>
          <w:u w:val="single"/>
        </w:rPr>
      </w:pPr>
      <w:r>
        <w:rPr>
          <w:b/>
          <w:u w:val="single"/>
        </w:rPr>
        <w:t>2-3 : les dépenses d’investissement</w:t>
      </w:r>
    </w:p>
    <w:p w:rsidR="00A079E4" w:rsidRPr="00F47BF7" w:rsidRDefault="00F47BF7" w:rsidP="00273D51">
      <w:pPr>
        <w:jc w:val="both"/>
      </w:pPr>
      <w:r w:rsidRPr="00F47BF7">
        <w:t xml:space="preserve">Le taux de réalisation </w:t>
      </w:r>
      <w:r>
        <w:t xml:space="preserve">des opérations réelles </w:t>
      </w:r>
      <w:r w:rsidRPr="00F47BF7">
        <w:t>en 2023 s’est affiché à 49%.</w:t>
      </w:r>
      <w:r>
        <w:t xml:space="preserve"> (54% en 2022). Le solde des restes à réaliser (ayant fait l’objet d’un engagement comptable) est de 3 106 K€. </w:t>
      </w:r>
    </w:p>
    <w:p w:rsidR="005D4012" w:rsidRDefault="00F47BF7" w:rsidP="00273D51">
      <w:pPr>
        <w:jc w:val="both"/>
        <w:rPr>
          <w:b/>
          <w:u w:val="single"/>
        </w:rPr>
      </w:pPr>
      <w:r w:rsidRPr="0016653C">
        <w:rPr>
          <w:noProof/>
          <w:lang w:eastAsia="fr-FR"/>
        </w:rPr>
        <w:drawing>
          <wp:anchor distT="0" distB="0" distL="114300" distR="114300" simplePos="0" relativeHeight="251660288" behindDoc="0" locked="0" layoutInCell="1" allowOverlap="1">
            <wp:simplePos x="0" y="0"/>
            <wp:positionH relativeFrom="column">
              <wp:posOffset>162872</wp:posOffset>
            </wp:positionH>
            <wp:positionV relativeFrom="paragraph">
              <wp:posOffset>266859</wp:posOffset>
            </wp:positionV>
            <wp:extent cx="5033176" cy="3815762"/>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3176" cy="3815762"/>
                    </a:xfrm>
                    <a:prstGeom prst="rect">
                      <a:avLst/>
                    </a:prstGeom>
                    <a:noFill/>
                    <a:ln>
                      <a:noFill/>
                    </a:ln>
                  </pic:spPr>
                </pic:pic>
              </a:graphicData>
            </a:graphic>
          </wp:anchor>
        </w:drawing>
      </w:r>
    </w:p>
    <w:p w:rsidR="00333D5D" w:rsidRDefault="00333D5D" w:rsidP="00273D51">
      <w:pPr>
        <w:jc w:val="both"/>
        <w:rPr>
          <w:b/>
          <w:u w:val="single"/>
        </w:rPr>
      </w:pPr>
    </w:p>
    <w:p w:rsidR="00333D5D" w:rsidRDefault="00333D5D" w:rsidP="00273D51">
      <w:pPr>
        <w:jc w:val="both"/>
        <w:rPr>
          <w:b/>
          <w:u w:val="single"/>
        </w:rPr>
      </w:pPr>
    </w:p>
    <w:p w:rsidR="00333D5D" w:rsidRDefault="00333D5D" w:rsidP="00273D51">
      <w:pPr>
        <w:jc w:val="both"/>
        <w:rPr>
          <w:b/>
          <w:u w:val="single"/>
        </w:rPr>
      </w:pPr>
    </w:p>
    <w:p w:rsidR="00333D5D" w:rsidRDefault="00333D5D" w:rsidP="00273D51">
      <w:pPr>
        <w:jc w:val="both"/>
        <w:rPr>
          <w:b/>
          <w:u w:val="single"/>
        </w:rPr>
      </w:pPr>
    </w:p>
    <w:p w:rsidR="005D4012" w:rsidRDefault="005D4012" w:rsidP="00273D51">
      <w:pPr>
        <w:jc w:val="both"/>
        <w:rPr>
          <w:b/>
          <w:u w:val="single"/>
        </w:rPr>
      </w:pPr>
    </w:p>
    <w:p w:rsidR="00333D5D" w:rsidRDefault="00333D5D" w:rsidP="00273D51">
      <w:pPr>
        <w:jc w:val="both"/>
        <w:rPr>
          <w:b/>
          <w:u w:val="single"/>
        </w:rPr>
      </w:pPr>
    </w:p>
    <w:p w:rsidR="00333D5D" w:rsidRDefault="00333D5D" w:rsidP="00273D51">
      <w:pPr>
        <w:jc w:val="both"/>
        <w:rPr>
          <w:b/>
          <w:u w:val="single"/>
        </w:rPr>
      </w:pPr>
    </w:p>
    <w:p w:rsidR="00333D5D" w:rsidRDefault="00333D5D" w:rsidP="00273D51">
      <w:pPr>
        <w:jc w:val="both"/>
        <w:rPr>
          <w:b/>
          <w:u w:val="single"/>
        </w:rPr>
      </w:pPr>
    </w:p>
    <w:p w:rsidR="00333D5D" w:rsidRDefault="00333D5D" w:rsidP="00273D51">
      <w:pPr>
        <w:jc w:val="both"/>
        <w:rPr>
          <w:b/>
          <w:u w:val="single"/>
        </w:rPr>
      </w:pPr>
    </w:p>
    <w:p w:rsidR="00333D5D" w:rsidRDefault="00333D5D" w:rsidP="00273D51">
      <w:pPr>
        <w:jc w:val="both"/>
        <w:rPr>
          <w:b/>
          <w:u w:val="single"/>
        </w:rPr>
      </w:pPr>
    </w:p>
    <w:p w:rsidR="00333D5D" w:rsidRDefault="00333D5D" w:rsidP="00273D51">
      <w:pPr>
        <w:jc w:val="both"/>
        <w:rPr>
          <w:b/>
          <w:u w:val="single"/>
        </w:rPr>
      </w:pPr>
    </w:p>
    <w:p w:rsidR="00333D5D" w:rsidRDefault="00333D5D" w:rsidP="00273D51">
      <w:pPr>
        <w:jc w:val="both"/>
        <w:rPr>
          <w:b/>
          <w:u w:val="single"/>
        </w:rPr>
      </w:pPr>
    </w:p>
    <w:p w:rsidR="00333D5D" w:rsidRDefault="00333D5D" w:rsidP="00273D51">
      <w:pPr>
        <w:jc w:val="both"/>
        <w:rPr>
          <w:b/>
          <w:u w:val="single"/>
        </w:rPr>
      </w:pPr>
    </w:p>
    <w:p w:rsidR="00F47BF7" w:rsidRDefault="00F47BF7" w:rsidP="00273D51">
      <w:pPr>
        <w:jc w:val="both"/>
        <w:rPr>
          <w:b/>
          <w:u w:val="single"/>
        </w:rPr>
      </w:pPr>
    </w:p>
    <w:p w:rsidR="00273D51" w:rsidRDefault="00273D51" w:rsidP="00273D51">
      <w:pPr>
        <w:jc w:val="both"/>
        <w:rPr>
          <w:b/>
          <w:u w:val="single"/>
        </w:rPr>
      </w:pPr>
      <w:r>
        <w:rPr>
          <w:b/>
          <w:u w:val="single"/>
        </w:rPr>
        <w:t xml:space="preserve">2-4 : les </w:t>
      </w:r>
      <w:r w:rsidR="00F47BF7">
        <w:rPr>
          <w:b/>
          <w:u w:val="single"/>
        </w:rPr>
        <w:t>P</w:t>
      </w:r>
      <w:r>
        <w:rPr>
          <w:b/>
          <w:u w:val="single"/>
        </w:rPr>
        <w:t>roduits d’investissement</w:t>
      </w:r>
    </w:p>
    <w:p w:rsidR="00E3077B" w:rsidRPr="00E3077B" w:rsidRDefault="00E3077B" w:rsidP="00273D51">
      <w:pPr>
        <w:jc w:val="both"/>
      </w:pPr>
      <w:r w:rsidRPr="00E3077B">
        <w:t xml:space="preserve">Les </w:t>
      </w:r>
      <w:r>
        <w:t>recettes</w:t>
      </w:r>
      <w:r w:rsidRPr="00E3077B">
        <w:t xml:space="preserve"> d</w:t>
      </w:r>
      <w:r>
        <w:t xml:space="preserve">’investissement hors emprunt </w:t>
      </w:r>
      <w:r w:rsidR="001E4346">
        <w:t>représentent 70</w:t>
      </w:r>
      <w:r>
        <w:t>%</w:t>
      </w:r>
      <w:r w:rsidRPr="00E3077B">
        <w:t xml:space="preserve"> </w:t>
      </w:r>
      <w:r w:rsidR="001E4346">
        <w:t>des recettes</w:t>
      </w:r>
      <w:r w:rsidRPr="00E3077B">
        <w:t xml:space="preserve"> d’équipement. </w:t>
      </w:r>
      <w:r w:rsidR="001E4346">
        <w:t>(</w:t>
      </w:r>
      <w:proofErr w:type="gramStart"/>
      <w:r w:rsidR="001E4346">
        <w:t>op</w:t>
      </w:r>
      <w:proofErr w:type="gramEnd"/>
      <w:r w:rsidR="001E4346">
        <w:t xml:space="preserve">° réelles) et 54% des dépenses réelles d’investissement. </w:t>
      </w:r>
    </w:p>
    <w:p w:rsidR="0016653C" w:rsidRDefault="00333D5D" w:rsidP="00273D51">
      <w:pPr>
        <w:jc w:val="both"/>
        <w:rPr>
          <w:b/>
          <w:u w:val="single"/>
        </w:rPr>
      </w:pPr>
      <w:r w:rsidRPr="00333D5D">
        <w:rPr>
          <w:noProof/>
          <w:lang w:eastAsia="fr-FR"/>
        </w:rPr>
        <w:drawing>
          <wp:anchor distT="0" distB="0" distL="114300" distR="114300" simplePos="0" relativeHeight="251661312" behindDoc="0" locked="0" layoutInCell="1" allowOverlap="1" wp14:anchorId="0A03CB48">
            <wp:simplePos x="0" y="0"/>
            <wp:positionH relativeFrom="column">
              <wp:posOffset>292735</wp:posOffset>
            </wp:positionH>
            <wp:positionV relativeFrom="paragraph">
              <wp:posOffset>199390</wp:posOffset>
            </wp:positionV>
            <wp:extent cx="4969510" cy="3150235"/>
            <wp:effectExtent l="0" t="0" r="254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9510" cy="315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53C" w:rsidRDefault="0016653C" w:rsidP="00273D51">
      <w:pPr>
        <w:jc w:val="both"/>
        <w:rPr>
          <w:b/>
          <w:u w:val="single"/>
        </w:rPr>
      </w:pPr>
    </w:p>
    <w:p w:rsidR="0016653C" w:rsidRDefault="0016653C" w:rsidP="00273D51">
      <w:pPr>
        <w:jc w:val="both"/>
        <w:rPr>
          <w:b/>
          <w:u w:val="single"/>
        </w:rPr>
      </w:pPr>
    </w:p>
    <w:p w:rsidR="0016653C" w:rsidRDefault="0016653C" w:rsidP="00273D51">
      <w:pPr>
        <w:jc w:val="both"/>
        <w:rPr>
          <w:b/>
          <w:u w:val="single"/>
        </w:rPr>
      </w:pPr>
    </w:p>
    <w:p w:rsidR="00333D5D" w:rsidRDefault="00333D5D" w:rsidP="00273D51">
      <w:pPr>
        <w:jc w:val="both"/>
        <w:rPr>
          <w:b/>
          <w:u w:val="single"/>
        </w:rPr>
      </w:pPr>
    </w:p>
    <w:p w:rsidR="00333D5D" w:rsidRDefault="00333D5D" w:rsidP="00273D51">
      <w:pPr>
        <w:jc w:val="both"/>
        <w:rPr>
          <w:b/>
          <w:u w:val="single"/>
        </w:rPr>
      </w:pPr>
    </w:p>
    <w:p w:rsidR="00333D5D" w:rsidRDefault="00333D5D" w:rsidP="00273D51">
      <w:pPr>
        <w:jc w:val="both"/>
        <w:rPr>
          <w:b/>
          <w:u w:val="single"/>
        </w:rPr>
      </w:pPr>
    </w:p>
    <w:p w:rsidR="00333D5D" w:rsidRDefault="00333D5D" w:rsidP="00273D51">
      <w:pPr>
        <w:jc w:val="both"/>
        <w:rPr>
          <w:b/>
          <w:u w:val="single"/>
        </w:rPr>
      </w:pPr>
    </w:p>
    <w:p w:rsidR="00333D5D" w:rsidRDefault="00333D5D" w:rsidP="00273D51">
      <w:pPr>
        <w:jc w:val="both"/>
        <w:rPr>
          <w:b/>
          <w:u w:val="single"/>
        </w:rPr>
      </w:pPr>
    </w:p>
    <w:p w:rsidR="00333D5D" w:rsidRDefault="00333D5D" w:rsidP="00273D51">
      <w:pPr>
        <w:jc w:val="both"/>
        <w:rPr>
          <w:b/>
          <w:u w:val="single"/>
        </w:rPr>
      </w:pPr>
    </w:p>
    <w:p w:rsidR="00333D5D" w:rsidRDefault="00333D5D" w:rsidP="00273D51">
      <w:pPr>
        <w:jc w:val="both"/>
        <w:rPr>
          <w:b/>
          <w:u w:val="single"/>
        </w:rPr>
      </w:pPr>
    </w:p>
    <w:p w:rsidR="00333D5D" w:rsidRDefault="00333D5D" w:rsidP="00273D51">
      <w:pPr>
        <w:jc w:val="both"/>
        <w:rPr>
          <w:b/>
          <w:u w:val="single"/>
        </w:rPr>
      </w:pPr>
    </w:p>
    <w:p w:rsidR="00333D5D" w:rsidRDefault="00333D5D" w:rsidP="00333D5D">
      <w:pPr>
        <w:pStyle w:val="Paragraphedeliste"/>
        <w:jc w:val="both"/>
        <w:rPr>
          <w:b/>
          <w:u w:val="single"/>
        </w:rPr>
      </w:pPr>
    </w:p>
    <w:p w:rsidR="00E3077B" w:rsidRDefault="00E3077B" w:rsidP="00333D5D">
      <w:pPr>
        <w:pStyle w:val="Paragraphedeliste"/>
        <w:jc w:val="both"/>
        <w:rPr>
          <w:b/>
          <w:u w:val="single"/>
        </w:rPr>
      </w:pPr>
    </w:p>
    <w:p w:rsidR="00273D51" w:rsidRDefault="00273D51" w:rsidP="00273D51">
      <w:pPr>
        <w:pStyle w:val="Paragraphedeliste"/>
        <w:numPr>
          <w:ilvl w:val="0"/>
          <w:numId w:val="4"/>
        </w:numPr>
        <w:jc w:val="both"/>
        <w:rPr>
          <w:b/>
          <w:u w:val="single"/>
        </w:rPr>
      </w:pPr>
      <w:r>
        <w:rPr>
          <w:b/>
          <w:u w:val="single"/>
        </w:rPr>
        <w:t>Le recours à l’emprunt</w:t>
      </w:r>
      <w:r w:rsidR="00981A6F">
        <w:rPr>
          <w:b/>
          <w:u w:val="single"/>
        </w:rPr>
        <w:t xml:space="preserve"> en consolidé</w:t>
      </w:r>
      <w:r w:rsidR="006C20C4">
        <w:rPr>
          <w:b/>
          <w:u w:val="single"/>
        </w:rPr>
        <w:t xml:space="preserve"> 2023</w:t>
      </w:r>
    </w:p>
    <w:p w:rsidR="006C20C4" w:rsidRDefault="006C20C4" w:rsidP="006C20C4">
      <w:pPr>
        <w:jc w:val="both"/>
        <w:rPr>
          <w:b/>
          <w:u w:val="single"/>
        </w:rPr>
      </w:pPr>
    </w:p>
    <w:tbl>
      <w:tblPr>
        <w:tblStyle w:val="Grilledutableau"/>
        <w:tblW w:w="0" w:type="auto"/>
        <w:tblLook w:val="04A0" w:firstRow="1" w:lastRow="0" w:firstColumn="1" w:lastColumn="0" w:noHBand="0" w:noVBand="1"/>
      </w:tblPr>
      <w:tblGrid>
        <w:gridCol w:w="1555"/>
        <w:gridCol w:w="1442"/>
        <w:gridCol w:w="1676"/>
        <w:gridCol w:w="1418"/>
        <w:gridCol w:w="1572"/>
        <w:gridCol w:w="1399"/>
      </w:tblGrid>
      <w:tr w:rsidR="006C20C4" w:rsidTr="005322FF">
        <w:tc>
          <w:tcPr>
            <w:tcW w:w="1555" w:type="dxa"/>
            <w:shd w:val="clear" w:color="auto" w:fill="C5E0B3" w:themeFill="accent6" w:themeFillTint="66"/>
          </w:tcPr>
          <w:p w:rsidR="006C20C4" w:rsidRDefault="005322FF" w:rsidP="006C20C4">
            <w:pPr>
              <w:jc w:val="both"/>
              <w:rPr>
                <w:b/>
                <w:u w:val="single"/>
              </w:rPr>
            </w:pPr>
            <w:r>
              <w:rPr>
                <w:b/>
                <w:u w:val="single"/>
              </w:rPr>
              <w:t>2023</w:t>
            </w:r>
          </w:p>
        </w:tc>
        <w:tc>
          <w:tcPr>
            <w:tcW w:w="1442" w:type="dxa"/>
            <w:shd w:val="clear" w:color="auto" w:fill="C5E0B3" w:themeFill="accent6" w:themeFillTint="66"/>
          </w:tcPr>
          <w:p w:rsidR="006C20C4" w:rsidRPr="006C20C4" w:rsidRDefault="006C20C4" w:rsidP="006C20C4">
            <w:pPr>
              <w:jc w:val="both"/>
              <w:rPr>
                <w:b/>
              </w:rPr>
            </w:pPr>
            <w:r w:rsidRPr="006C20C4">
              <w:rPr>
                <w:b/>
              </w:rPr>
              <w:t>Budget principal</w:t>
            </w:r>
          </w:p>
        </w:tc>
        <w:tc>
          <w:tcPr>
            <w:tcW w:w="1676" w:type="dxa"/>
            <w:shd w:val="clear" w:color="auto" w:fill="C5E0B3" w:themeFill="accent6" w:themeFillTint="66"/>
          </w:tcPr>
          <w:p w:rsidR="006C20C4" w:rsidRPr="006C20C4" w:rsidRDefault="006C20C4" w:rsidP="006C20C4">
            <w:pPr>
              <w:jc w:val="both"/>
              <w:rPr>
                <w:b/>
              </w:rPr>
            </w:pPr>
            <w:r w:rsidRPr="006C20C4">
              <w:rPr>
                <w:b/>
              </w:rPr>
              <w:t>Assainissement</w:t>
            </w:r>
          </w:p>
        </w:tc>
        <w:tc>
          <w:tcPr>
            <w:tcW w:w="1418" w:type="dxa"/>
            <w:shd w:val="clear" w:color="auto" w:fill="C5E0B3" w:themeFill="accent6" w:themeFillTint="66"/>
          </w:tcPr>
          <w:p w:rsidR="006C20C4" w:rsidRPr="006C20C4" w:rsidRDefault="006C20C4" w:rsidP="006C20C4">
            <w:pPr>
              <w:jc w:val="both"/>
              <w:rPr>
                <w:b/>
              </w:rPr>
            </w:pPr>
            <w:r w:rsidRPr="006C20C4">
              <w:rPr>
                <w:b/>
              </w:rPr>
              <w:t>Déchets</w:t>
            </w:r>
          </w:p>
        </w:tc>
        <w:tc>
          <w:tcPr>
            <w:tcW w:w="1572" w:type="dxa"/>
            <w:shd w:val="clear" w:color="auto" w:fill="C5E0B3" w:themeFill="accent6" w:themeFillTint="66"/>
          </w:tcPr>
          <w:p w:rsidR="006C20C4" w:rsidRPr="006C20C4" w:rsidRDefault="006C20C4" w:rsidP="006C20C4">
            <w:pPr>
              <w:jc w:val="both"/>
              <w:rPr>
                <w:b/>
              </w:rPr>
            </w:pPr>
            <w:r>
              <w:rPr>
                <w:b/>
              </w:rPr>
              <w:t>Immobilier d’entreprises</w:t>
            </w:r>
          </w:p>
        </w:tc>
        <w:tc>
          <w:tcPr>
            <w:tcW w:w="1399" w:type="dxa"/>
            <w:shd w:val="clear" w:color="auto" w:fill="C5E0B3" w:themeFill="accent6" w:themeFillTint="66"/>
          </w:tcPr>
          <w:p w:rsidR="006C20C4" w:rsidRPr="006C20C4" w:rsidRDefault="006C20C4" w:rsidP="006C20C4">
            <w:pPr>
              <w:jc w:val="both"/>
              <w:rPr>
                <w:b/>
              </w:rPr>
            </w:pPr>
            <w:r w:rsidRPr="006C20C4">
              <w:rPr>
                <w:b/>
              </w:rPr>
              <w:t>Total</w:t>
            </w:r>
          </w:p>
        </w:tc>
      </w:tr>
      <w:tr w:rsidR="006C20C4" w:rsidTr="005322FF">
        <w:tc>
          <w:tcPr>
            <w:tcW w:w="1555" w:type="dxa"/>
            <w:shd w:val="clear" w:color="auto" w:fill="C5E0B3" w:themeFill="accent6" w:themeFillTint="66"/>
          </w:tcPr>
          <w:p w:rsidR="006C20C4" w:rsidRPr="006C20C4" w:rsidRDefault="006C20C4" w:rsidP="006C20C4">
            <w:pPr>
              <w:jc w:val="both"/>
              <w:rPr>
                <w:b/>
              </w:rPr>
            </w:pPr>
            <w:r w:rsidRPr="006C20C4">
              <w:rPr>
                <w:b/>
              </w:rPr>
              <w:t>Réalisé</w:t>
            </w:r>
          </w:p>
        </w:tc>
        <w:tc>
          <w:tcPr>
            <w:tcW w:w="1442" w:type="dxa"/>
          </w:tcPr>
          <w:p w:rsidR="00CB4546" w:rsidRPr="00AB4C14" w:rsidRDefault="00AB4C14" w:rsidP="006C20C4">
            <w:pPr>
              <w:jc w:val="both"/>
              <w:rPr>
                <w:b/>
              </w:rPr>
            </w:pPr>
            <w:r w:rsidRPr="00AB4C14">
              <w:rPr>
                <w:b/>
              </w:rPr>
              <w:t>1 500 000</w:t>
            </w:r>
          </w:p>
        </w:tc>
        <w:tc>
          <w:tcPr>
            <w:tcW w:w="1676" w:type="dxa"/>
          </w:tcPr>
          <w:p w:rsidR="006C20C4" w:rsidRPr="00AB4C14" w:rsidRDefault="00AB4C14" w:rsidP="006C20C4">
            <w:pPr>
              <w:jc w:val="both"/>
              <w:rPr>
                <w:b/>
              </w:rPr>
            </w:pPr>
            <w:r>
              <w:rPr>
                <w:b/>
              </w:rPr>
              <w:t>1 400 000</w:t>
            </w:r>
          </w:p>
        </w:tc>
        <w:tc>
          <w:tcPr>
            <w:tcW w:w="1418" w:type="dxa"/>
          </w:tcPr>
          <w:p w:rsidR="006C20C4" w:rsidRPr="00AB4C14" w:rsidRDefault="00AB4C14" w:rsidP="006C20C4">
            <w:pPr>
              <w:jc w:val="both"/>
              <w:rPr>
                <w:b/>
              </w:rPr>
            </w:pPr>
            <w:r>
              <w:rPr>
                <w:b/>
              </w:rPr>
              <w:t>0</w:t>
            </w:r>
          </w:p>
        </w:tc>
        <w:tc>
          <w:tcPr>
            <w:tcW w:w="1572" w:type="dxa"/>
          </w:tcPr>
          <w:p w:rsidR="006C20C4" w:rsidRPr="00AB4C14" w:rsidRDefault="00AB4C14" w:rsidP="006C20C4">
            <w:pPr>
              <w:jc w:val="both"/>
              <w:rPr>
                <w:b/>
              </w:rPr>
            </w:pPr>
            <w:r>
              <w:rPr>
                <w:b/>
              </w:rPr>
              <w:t>1 400 000</w:t>
            </w:r>
          </w:p>
        </w:tc>
        <w:tc>
          <w:tcPr>
            <w:tcW w:w="1399" w:type="dxa"/>
          </w:tcPr>
          <w:p w:rsidR="006C20C4" w:rsidRPr="00AB4C14" w:rsidRDefault="00AB4C14" w:rsidP="006C20C4">
            <w:pPr>
              <w:jc w:val="both"/>
              <w:rPr>
                <w:b/>
              </w:rPr>
            </w:pPr>
            <w:r>
              <w:rPr>
                <w:b/>
              </w:rPr>
              <w:t>4 300 000</w:t>
            </w:r>
          </w:p>
        </w:tc>
      </w:tr>
      <w:tr w:rsidR="006C20C4" w:rsidTr="005322FF">
        <w:tc>
          <w:tcPr>
            <w:tcW w:w="1555" w:type="dxa"/>
            <w:shd w:val="clear" w:color="auto" w:fill="C5E0B3" w:themeFill="accent6" w:themeFillTint="66"/>
          </w:tcPr>
          <w:p w:rsidR="006C20C4" w:rsidRPr="006C20C4" w:rsidRDefault="006C20C4" w:rsidP="006C20C4">
            <w:pPr>
              <w:jc w:val="both"/>
              <w:rPr>
                <w:b/>
              </w:rPr>
            </w:pPr>
            <w:r w:rsidRPr="006C20C4">
              <w:rPr>
                <w:b/>
              </w:rPr>
              <w:t>Restes à réaliser</w:t>
            </w:r>
            <w:r w:rsidR="005322FF">
              <w:rPr>
                <w:b/>
              </w:rPr>
              <w:t xml:space="preserve"> </w:t>
            </w:r>
          </w:p>
        </w:tc>
        <w:tc>
          <w:tcPr>
            <w:tcW w:w="1442" w:type="dxa"/>
          </w:tcPr>
          <w:p w:rsidR="006C20C4" w:rsidRPr="00AB4C14" w:rsidRDefault="00AB4C14" w:rsidP="006C20C4">
            <w:pPr>
              <w:jc w:val="both"/>
              <w:rPr>
                <w:b/>
              </w:rPr>
            </w:pPr>
            <w:r>
              <w:rPr>
                <w:b/>
              </w:rPr>
              <w:t>1 500 000</w:t>
            </w:r>
          </w:p>
        </w:tc>
        <w:tc>
          <w:tcPr>
            <w:tcW w:w="1676" w:type="dxa"/>
          </w:tcPr>
          <w:p w:rsidR="006C20C4" w:rsidRPr="00AB4C14" w:rsidRDefault="00AB4C14" w:rsidP="006C20C4">
            <w:pPr>
              <w:jc w:val="both"/>
              <w:rPr>
                <w:b/>
              </w:rPr>
            </w:pPr>
            <w:r>
              <w:rPr>
                <w:b/>
              </w:rPr>
              <w:t>2 000 000</w:t>
            </w:r>
          </w:p>
        </w:tc>
        <w:tc>
          <w:tcPr>
            <w:tcW w:w="1418" w:type="dxa"/>
          </w:tcPr>
          <w:p w:rsidR="006C20C4" w:rsidRPr="00AB4C14" w:rsidRDefault="00AB4C14" w:rsidP="006C20C4">
            <w:pPr>
              <w:jc w:val="both"/>
              <w:rPr>
                <w:b/>
              </w:rPr>
            </w:pPr>
            <w:r>
              <w:rPr>
                <w:b/>
              </w:rPr>
              <w:t>300 000</w:t>
            </w:r>
          </w:p>
        </w:tc>
        <w:tc>
          <w:tcPr>
            <w:tcW w:w="1572" w:type="dxa"/>
          </w:tcPr>
          <w:p w:rsidR="006C20C4" w:rsidRPr="00AB4C14" w:rsidRDefault="00AB4C14" w:rsidP="006C20C4">
            <w:pPr>
              <w:jc w:val="both"/>
              <w:rPr>
                <w:b/>
              </w:rPr>
            </w:pPr>
            <w:r>
              <w:rPr>
                <w:b/>
              </w:rPr>
              <w:t>0</w:t>
            </w:r>
          </w:p>
        </w:tc>
        <w:tc>
          <w:tcPr>
            <w:tcW w:w="1399" w:type="dxa"/>
          </w:tcPr>
          <w:p w:rsidR="006C20C4" w:rsidRPr="00AB4C14" w:rsidRDefault="00AB4C14" w:rsidP="006C20C4">
            <w:pPr>
              <w:jc w:val="both"/>
              <w:rPr>
                <w:b/>
              </w:rPr>
            </w:pPr>
            <w:r>
              <w:rPr>
                <w:b/>
              </w:rPr>
              <w:t>3 800 000</w:t>
            </w:r>
          </w:p>
        </w:tc>
      </w:tr>
      <w:tr w:rsidR="006C20C4" w:rsidTr="005322FF">
        <w:tc>
          <w:tcPr>
            <w:tcW w:w="1555" w:type="dxa"/>
            <w:shd w:val="clear" w:color="auto" w:fill="C5E0B3" w:themeFill="accent6" w:themeFillTint="66"/>
          </w:tcPr>
          <w:p w:rsidR="006C20C4" w:rsidRPr="006C20C4" w:rsidRDefault="006C20C4" w:rsidP="006C20C4">
            <w:pPr>
              <w:jc w:val="both"/>
              <w:rPr>
                <w:b/>
              </w:rPr>
            </w:pPr>
            <w:r w:rsidRPr="006C20C4">
              <w:rPr>
                <w:b/>
              </w:rPr>
              <w:t>Total</w:t>
            </w:r>
          </w:p>
        </w:tc>
        <w:tc>
          <w:tcPr>
            <w:tcW w:w="1442" w:type="dxa"/>
          </w:tcPr>
          <w:p w:rsidR="006C20C4" w:rsidRPr="00AB4C14" w:rsidRDefault="00AB4C14" w:rsidP="006C20C4">
            <w:pPr>
              <w:jc w:val="both"/>
              <w:rPr>
                <w:b/>
              </w:rPr>
            </w:pPr>
            <w:r>
              <w:rPr>
                <w:b/>
              </w:rPr>
              <w:t>3 000 000</w:t>
            </w:r>
          </w:p>
        </w:tc>
        <w:tc>
          <w:tcPr>
            <w:tcW w:w="1676" w:type="dxa"/>
          </w:tcPr>
          <w:p w:rsidR="006C20C4" w:rsidRPr="00AB4C14" w:rsidRDefault="00AB4C14" w:rsidP="006C20C4">
            <w:pPr>
              <w:jc w:val="both"/>
              <w:rPr>
                <w:b/>
              </w:rPr>
            </w:pPr>
            <w:r>
              <w:rPr>
                <w:b/>
              </w:rPr>
              <w:t>3 400 000</w:t>
            </w:r>
          </w:p>
        </w:tc>
        <w:tc>
          <w:tcPr>
            <w:tcW w:w="1418" w:type="dxa"/>
          </w:tcPr>
          <w:p w:rsidR="006C20C4" w:rsidRPr="00AB4C14" w:rsidRDefault="00AB4C14" w:rsidP="006C20C4">
            <w:pPr>
              <w:jc w:val="both"/>
              <w:rPr>
                <w:b/>
              </w:rPr>
            </w:pPr>
            <w:r>
              <w:rPr>
                <w:b/>
              </w:rPr>
              <w:t>300 000</w:t>
            </w:r>
          </w:p>
        </w:tc>
        <w:tc>
          <w:tcPr>
            <w:tcW w:w="1572" w:type="dxa"/>
          </w:tcPr>
          <w:p w:rsidR="006C20C4" w:rsidRPr="00AB4C14" w:rsidRDefault="00AB4C14" w:rsidP="006C20C4">
            <w:pPr>
              <w:jc w:val="both"/>
              <w:rPr>
                <w:b/>
              </w:rPr>
            </w:pPr>
            <w:r>
              <w:rPr>
                <w:b/>
              </w:rPr>
              <w:t>1 400 000</w:t>
            </w:r>
          </w:p>
        </w:tc>
        <w:tc>
          <w:tcPr>
            <w:tcW w:w="1399" w:type="dxa"/>
          </w:tcPr>
          <w:p w:rsidR="006C20C4" w:rsidRPr="00AB4C14" w:rsidRDefault="00AB4C14" w:rsidP="006C20C4">
            <w:pPr>
              <w:jc w:val="both"/>
              <w:rPr>
                <w:b/>
              </w:rPr>
            </w:pPr>
            <w:r>
              <w:rPr>
                <w:b/>
              </w:rPr>
              <w:t>8 100 000</w:t>
            </w:r>
          </w:p>
        </w:tc>
      </w:tr>
    </w:tbl>
    <w:p w:rsidR="006C20C4" w:rsidRDefault="006C20C4" w:rsidP="006C20C4">
      <w:pPr>
        <w:jc w:val="both"/>
        <w:rPr>
          <w:b/>
          <w:u w:val="single"/>
        </w:rPr>
      </w:pPr>
    </w:p>
    <w:p w:rsidR="005322FF" w:rsidRDefault="003E0C0D" w:rsidP="006C20C4">
      <w:pPr>
        <w:jc w:val="both"/>
      </w:pPr>
      <w:r w:rsidRPr="003E0C0D">
        <w:t>Pour le budget principal, le recours à l’emprunt en 2023 en réalisé (hors RAR, réalisé en 2024) représente 11.15% des opérations réelles d’investissement (13.554 K€)</w:t>
      </w:r>
    </w:p>
    <w:p w:rsidR="003E0C0D" w:rsidRDefault="003E0C0D" w:rsidP="006C20C4">
      <w:pPr>
        <w:jc w:val="both"/>
      </w:pPr>
      <w:r>
        <w:t>Le volume global des dépenses réelles d’investissement en consolidé des différents budgets s’affiche à 24 659 419 € en 2023. Le recours à l’emprunt réalisé représente 17.43% du financement de ces dépenses.</w:t>
      </w:r>
    </w:p>
    <w:p w:rsidR="005322FF" w:rsidRPr="006C20C4" w:rsidRDefault="005322FF" w:rsidP="006C20C4">
      <w:pPr>
        <w:jc w:val="both"/>
        <w:rPr>
          <w:b/>
          <w:u w:val="single"/>
        </w:rPr>
      </w:pPr>
    </w:p>
    <w:p w:rsidR="00273D51" w:rsidRDefault="00273D51" w:rsidP="00273D51">
      <w:pPr>
        <w:jc w:val="both"/>
        <w:rPr>
          <w:b/>
          <w:u w:val="single"/>
        </w:rPr>
      </w:pPr>
      <w:r>
        <w:rPr>
          <w:b/>
          <w:u w:val="single"/>
        </w:rPr>
        <w:t xml:space="preserve">2-5 : l’Epargne </w:t>
      </w:r>
      <w:r w:rsidR="00F1675F">
        <w:rPr>
          <w:b/>
          <w:u w:val="single"/>
        </w:rPr>
        <w:t xml:space="preserve">– Autofinancement </w:t>
      </w:r>
    </w:p>
    <w:p w:rsidR="006A29CF" w:rsidRPr="006A29CF" w:rsidRDefault="006A29CF" w:rsidP="00273D51">
      <w:pPr>
        <w:jc w:val="both"/>
      </w:pPr>
      <w:bookmarkStart w:id="1" w:name="_Hlk161407656"/>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3223420</wp:posOffset>
                </wp:positionH>
                <wp:positionV relativeFrom="paragraph">
                  <wp:posOffset>475923</wp:posOffset>
                </wp:positionV>
                <wp:extent cx="2568797" cy="2417830"/>
                <wp:effectExtent l="0" t="0" r="22225" b="20955"/>
                <wp:wrapNone/>
                <wp:docPr id="21" name="Zone de texte 21"/>
                <wp:cNvGraphicFramePr/>
                <a:graphic xmlns:a="http://schemas.openxmlformats.org/drawingml/2006/main">
                  <a:graphicData uri="http://schemas.microsoft.com/office/word/2010/wordprocessingShape">
                    <wps:wsp>
                      <wps:cNvSpPr txBox="1"/>
                      <wps:spPr>
                        <a:xfrm>
                          <a:off x="0" y="0"/>
                          <a:ext cx="2568797" cy="2417830"/>
                        </a:xfrm>
                        <a:prstGeom prst="rect">
                          <a:avLst/>
                        </a:prstGeom>
                        <a:solidFill>
                          <a:schemeClr val="lt1"/>
                        </a:solidFill>
                        <a:ln w="6350">
                          <a:solidFill>
                            <a:prstClr val="black"/>
                          </a:solidFill>
                        </a:ln>
                      </wps:spPr>
                      <wps:txbx>
                        <w:txbxContent>
                          <w:p w:rsidR="00F673FD" w:rsidRPr="006A29CF" w:rsidRDefault="00F673FD">
                            <w:pPr>
                              <w:rPr>
                                <w:b/>
                                <w:color w:val="F7CAAC" w:themeColor="accent2" w:themeTint="66"/>
                                <w14:textOutline w14:w="11112" w14:cap="flat" w14:cmpd="sng" w14:algn="ctr">
                                  <w14:solidFill>
                                    <w14:schemeClr w14:val="accent2"/>
                                  </w14:solidFill>
                                  <w14:prstDash w14:val="solid"/>
                                  <w14:round/>
                                </w14:textOutline>
                              </w:rPr>
                            </w:pPr>
                            <w:r w:rsidRPr="006A29CF">
                              <w:rPr>
                                <w:b/>
                                <w:color w:val="F7CAAC" w:themeColor="accent2" w:themeTint="66"/>
                                <w14:textOutline w14:w="11112" w14:cap="flat" w14:cmpd="sng" w14:algn="ctr">
                                  <w14:solidFill>
                                    <w14:schemeClr w14:val="accent2"/>
                                  </w14:solidFill>
                                  <w14:prstDash w14:val="solid"/>
                                  <w14:round/>
                                </w14:textOutline>
                              </w:rPr>
                              <w:t>Ratios d’épargne</w:t>
                            </w:r>
                          </w:p>
                          <w:p w:rsidR="00F673FD" w:rsidRDefault="00F673FD" w:rsidP="005322FF">
                            <w:pPr>
                              <w:pStyle w:val="Paragraphedeliste"/>
                              <w:numPr>
                                <w:ilvl w:val="0"/>
                                <w:numId w:val="8"/>
                              </w:numPr>
                              <w:rPr>
                                <w:b/>
                              </w:rPr>
                            </w:pPr>
                            <w:r w:rsidRPr="005322FF">
                              <w:rPr>
                                <w:b/>
                              </w:rPr>
                              <w:t>Epargne brute / recettes réelles de fonctionnement = 18.99%</w:t>
                            </w:r>
                          </w:p>
                          <w:p w:rsidR="00F673FD" w:rsidRPr="005322FF" w:rsidRDefault="00F673FD" w:rsidP="005322FF">
                            <w:pPr>
                              <w:pStyle w:val="Paragraphedeliste"/>
                              <w:rPr>
                                <w:b/>
                              </w:rPr>
                            </w:pPr>
                          </w:p>
                          <w:p w:rsidR="00F673FD" w:rsidRDefault="00F673FD" w:rsidP="005322FF">
                            <w:pPr>
                              <w:pStyle w:val="Paragraphedeliste"/>
                              <w:numPr>
                                <w:ilvl w:val="0"/>
                                <w:numId w:val="8"/>
                              </w:numPr>
                              <w:rPr>
                                <w:b/>
                              </w:rPr>
                            </w:pPr>
                            <w:r w:rsidRPr="005322FF">
                              <w:rPr>
                                <w:b/>
                              </w:rPr>
                              <w:t xml:space="preserve">Epargne nette/RRF = 17.22 </w:t>
                            </w:r>
                            <w:r>
                              <w:rPr>
                                <w:b/>
                              </w:rPr>
                              <w:t>%</w:t>
                            </w:r>
                            <w:r w:rsidRPr="005322FF">
                              <w:rPr>
                                <w:b/>
                              </w:rPr>
                              <w:t xml:space="preserve"> (reste 82.78% pour l’autofinancement des investissements)</w:t>
                            </w:r>
                          </w:p>
                          <w:p w:rsidR="00F673FD" w:rsidRPr="005322FF" w:rsidRDefault="00F673FD" w:rsidP="005322FF">
                            <w:pPr>
                              <w:pStyle w:val="Paragraphedeliste"/>
                              <w:rPr>
                                <w:b/>
                              </w:rPr>
                            </w:pPr>
                          </w:p>
                          <w:p w:rsidR="00F673FD" w:rsidRPr="005322FF" w:rsidRDefault="00F673FD" w:rsidP="005322FF">
                            <w:pPr>
                              <w:pStyle w:val="Paragraphedeliste"/>
                              <w:numPr>
                                <w:ilvl w:val="0"/>
                                <w:numId w:val="8"/>
                              </w:numPr>
                              <w:rPr>
                                <w:b/>
                              </w:rPr>
                            </w:pPr>
                            <w:r w:rsidRPr="005322FF">
                              <w:rPr>
                                <w:b/>
                              </w:rPr>
                              <w:t>Epargne nette 2023/total dépenses d’investissements : 44.8%</w:t>
                            </w:r>
                          </w:p>
                          <w:p w:rsidR="00F673FD" w:rsidRDefault="00F67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27" type="#_x0000_t202" style="position:absolute;left:0;text-align:left;margin-left:253.8pt;margin-top:37.45pt;width:202.25pt;height:19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" fillcolor="white [3201]" strokeweight=".5pt">
                <v:textbox>
                  <w:txbxContent>
                    <w:p w:rsidR="00F673FD" w:rsidRPr="006A29CF" w:rsidRDefault="00F673FD">
                      <w:pPr>
                        <w:rPr>
                          <w:b/>
                          <w:color w:val="F7CAAC" w:themeColor="accent2" w:themeTint="66"/>
                          <w14:textOutline w14:w="11112" w14:cap="flat" w14:cmpd="sng" w14:algn="ctr">
                            <w14:solidFill>
                              <w14:schemeClr w14:val="accent2"/>
                            </w14:solidFill>
                            <w14:prstDash w14:val="solid"/>
                            <w14:round/>
                          </w14:textOutline>
                        </w:rPr>
                      </w:pPr>
                      <w:r w:rsidRPr="006A29CF">
                        <w:rPr>
                          <w:b/>
                          <w:color w:val="F7CAAC" w:themeColor="accent2" w:themeTint="66"/>
                          <w14:textOutline w14:w="11112" w14:cap="flat" w14:cmpd="sng" w14:algn="ctr">
                            <w14:solidFill>
                              <w14:schemeClr w14:val="accent2"/>
                            </w14:solidFill>
                            <w14:prstDash w14:val="solid"/>
                            <w14:round/>
                          </w14:textOutline>
                        </w:rPr>
                        <w:t>Ratios d’épargne</w:t>
                      </w:r>
                    </w:p>
                    <w:p w:rsidR="00F673FD" w:rsidRDefault="00F673FD" w:rsidP="005322FF">
                      <w:pPr>
                        <w:pStyle w:val="Paragraphedeliste"/>
                        <w:numPr>
                          <w:ilvl w:val="0"/>
                          <w:numId w:val="8"/>
                        </w:numPr>
                        <w:rPr>
                          <w:b/>
                        </w:rPr>
                      </w:pPr>
                      <w:r w:rsidRPr="005322FF">
                        <w:rPr>
                          <w:b/>
                        </w:rPr>
                        <w:t>Epargne brute / recettes réelles de fonctionnement = 18.99%</w:t>
                      </w:r>
                    </w:p>
                    <w:p w:rsidR="00F673FD" w:rsidRPr="005322FF" w:rsidRDefault="00F673FD" w:rsidP="005322FF">
                      <w:pPr>
                        <w:pStyle w:val="Paragraphedeliste"/>
                        <w:rPr>
                          <w:b/>
                        </w:rPr>
                      </w:pPr>
                    </w:p>
                    <w:p w:rsidR="00F673FD" w:rsidRDefault="00F673FD" w:rsidP="005322FF">
                      <w:pPr>
                        <w:pStyle w:val="Paragraphedeliste"/>
                        <w:numPr>
                          <w:ilvl w:val="0"/>
                          <w:numId w:val="8"/>
                        </w:numPr>
                        <w:rPr>
                          <w:b/>
                        </w:rPr>
                      </w:pPr>
                      <w:r w:rsidRPr="005322FF">
                        <w:rPr>
                          <w:b/>
                        </w:rPr>
                        <w:t xml:space="preserve">Epargne nette/RRF = 17.22 </w:t>
                      </w:r>
                      <w:r>
                        <w:rPr>
                          <w:b/>
                        </w:rPr>
                        <w:t>%</w:t>
                      </w:r>
                      <w:r w:rsidRPr="005322FF">
                        <w:rPr>
                          <w:b/>
                        </w:rPr>
                        <w:t xml:space="preserve"> (reste 82.78% pour l’autofinancement des investissements)</w:t>
                      </w:r>
                    </w:p>
                    <w:p w:rsidR="00F673FD" w:rsidRPr="005322FF" w:rsidRDefault="00F673FD" w:rsidP="005322FF">
                      <w:pPr>
                        <w:pStyle w:val="Paragraphedeliste"/>
                        <w:rPr>
                          <w:b/>
                        </w:rPr>
                      </w:pPr>
                    </w:p>
                    <w:p w:rsidR="00F673FD" w:rsidRPr="005322FF" w:rsidRDefault="00F673FD" w:rsidP="005322FF">
                      <w:pPr>
                        <w:pStyle w:val="Paragraphedeliste"/>
                        <w:numPr>
                          <w:ilvl w:val="0"/>
                          <w:numId w:val="8"/>
                        </w:numPr>
                        <w:rPr>
                          <w:b/>
                        </w:rPr>
                      </w:pPr>
                      <w:r w:rsidRPr="005322FF">
                        <w:rPr>
                          <w:b/>
                        </w:rPr>
                        <w:t>Epargne nette 2023/total dépenses d’investissements : 44.8%</w:t>
                      </w:r>
                    </w:p>
                    <w:p w:rsidR="00F673FD" w:rsidRDefault="00F673FD"/>
                  </w:txbxContent>
                </v:textbox>
              </v:shape>
            </w:pict>
          </mc:Fallback>
        </mc:AlternateContent>
      </w:r>
      <w:r w:rsidRPr="006A29CF">
        <w:t>Le niveau d’épargne de la communauté est tout à fait satisfaisant et conforme aux objectifs fixés précédemment.</w:t>
      </w:r>
    </w:p>
    <w:tbl>
      <w:tblPr>
        <w:tblW w:w="4960" w:type="dxa"/>
        <w:tblCellMar>
          <w:left w:w="70" w:type="dxa"/>
          <w:right w:w="70" w:type="dxa"/>
        </w:tblCellMar>
        <w:tblLook w:val="04A0" w:firstRow="1" w:lastRow="0" w:firstColumn="1" w:lastColumn="0" w:noHBand="0" w:noVBand="1"/>
      </w:tblPr>
      <w:tblGrid>
        <w:gridCol w:w="3460"/>
        <w:gridCol w:w="340"/>
        <w:gridCol w:w="1160"/>
      </w:tblGrid>
      <w:tr w:rsidR="006A29CF" w:rsidRPr="006C1AE1" w:rsidTr="006A29CF">
        <w:trPr>
          <w:trHeight w:val="300"/>
        </w:trPr>
        <w:tc>
          <w:tcPr>
            <w:tcW w:w="3460" w:type="dxa"/>
            <w:tcBorders>
              <w:top w:val="nil"/>
              <w:left w:val="nil"/>
              <w:bottom w:val="nil"/>
              <w:right w:val="nil"/>
            </w:tcBorders>
            <w:shd w:val="clear" w:color="000000" w:fill="213744"/>
            <w:noWrap/>
            <w:vAlign w:val="bottom"/>
            <w:hideMark/>
          </w:tcPr>
          <w:p w:rsidR="006A29CF" w:rsidRPr="006C1AE1" w:rsidRDefault="00746AB1" w:rsidP="006C1AE1">
            <w:pPr>
              <w:spacing w:after="0" w:line="240" w:lineRule="auto"/>
              <w:jc w:val="center"/>
              <w:rPr>
                <w:rFonts w:ascii="Calibri" w:eastAsia="Times New Roman" w:hAnsi="Calibri" w:cs="Calibri"/>
                <w:color w:val="FFFFFF"/>
                <w:lang w:eastAsia="fr-FR"/>
              </w:rPr>
            </w:pPr>
            <w:r w:rsidRPr="00746AB1">
              <w:rPr>
                <w:rFonts w:ascii="Calibri" w:eastAsia="Times New Roman" w:hAnsi="Calibri" w:cs="Calibri"/>
                <w:color w:val="FFFFFF"/>
                <w:lang w:eastAsia="fr-FR"/>
              </w:rPr>
              <w:t>+4623697</w:t>
            </w:r>
            <w:r w:rsidR="006A29CF" w:rsidRPr="006C1AE1">
              <w:rPr>
                <w:rFonts w:ascii="Calibri" w:eastAsia="Times New Roman" w:hAnsi="Calibri" w:cs="Calibri"/>
                <w:color w:val="FFFFFF"/>
                <w:lang w:eastAsia="fr-FR"/>
              </w:rPr>
              <w:t>€</w:t>
            </w:r>
          </w:p>
        </w:tc>
        <w:tc>
          <w:tcPr>
            <w:tcW w:w="340" w:type="dxa"/>
            <w:tcBorders>
              <w:top w:val="nil"/>
              <w:left w:val="nil"/>
              <w:bottom w:val="nil"/>
              <w:right w:val="nil"/>
            </w:tcBorders>
            <w:shd w:val="clear" w:color="000000" w:fill="213744"/>
            <w:noWrap/>
            <w:vAlign w:val="bottom"/>
            <w:hideMark/>
          </w:tcPr>
          <w:p w:rsidR="006A29CF" w:rsidRPr="006C1AE1" w:rsidRDefault="006A29CF" w:rsidP="006C1AE1">
            <w:pPr>
              <w:spacing w:after="0" w:line="240" w:lineRule="auto"/>
              <w:rPr>
                <w:rFonts w:ascii="Calibri" w:eastAsia="Times New Roman" w:hAnsi="Calibri" w:cs="Calibri"/>
                <w:color w:val="FFFFFF"/>
                <w:lang w:eastAsia="fr-FR"/>
              </w:rPr>
            </w:pPr>
            <w:r w:rsidRPr="006C1AE1">
              <w:rPr>
                <w:rFonts w:ascii="Calibri" w:eastAsia="Times New Roman" w:hAnsi="Calibri" w:cs="Calibri"/>
                <w:color w:val="FFFFFF"/>
                <w:lang w:eastAsia="fr-FR"/>
              </w:rPr>
              <w:t> </w:t>
            </w:r>
          </w:p>
        </w:tc>
        <w:tc>
          <w:tcPr>
            <w:tcW w:w="1160" w:type="dxa"/>
            <w:tcBorders>
              <w:top w:val="nil"/>
              <w:left w:val="nil"/>
              <w:bottom w:val="nil"/>
              <w:right w:val="nil"/>
            </w:tcBorders>
            <w:shd w:val="clear" w:color="000000" w:fill="213744"/>
            <w:noWrap/>
            <w:vAlign w:val="bottom"/>
            <w:hideMark/>
          </w:tcPr>
          <w:p w:rsidR="006A29CF" w:rsidRPr="006C1AE1" w:rsidRDefault="006A29CF" w:rsidP="006C1AE1">
            <w:pPr>
              <w:spacing w:after="0" w:line="240" w:lineRule="auto"/>
              <w:jc w:val="center"/>
              <w:rPr>
                <w:rFonts w:ascii="Calibri" w:eastAsia="Times New Roman" w:hAnsi="Calibri" w:cs="Calibri"/>
                <w:color w:val="FFFFFF"/>
                <w:lang w:eastAsia="fr-FR"/>
              </w:rPr>
            </w:pPr>
            <w:r w:rsidRPr="006C1AE1">
              <w:rPr>
                <w:rFonts w:ascii="Calibri" w:eastAsia="Times New Roman" w:hAnsi="Calibri" w:cs="Calibri"/>
                <w:color w:val="FFFFFF"/>
                <w:lang w:eastAsia="fr-FR"/>
              </w:rPr>
              <w:t>2023</w:t>
            </w:r>
          </w:p>
        </w:tc>
      </w:tr>
      <w:tr w:rsidR="006A29CF" w:rsidRPr="006C1AE1" w:rsidTr="006A29CF">
        <w:trPr>
          <w:trHeight w:val="300"/>
        </w:trPr>
        <w:tc>
          <w:tcPr>
            <w:tcW w:w="346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rPr>
                <w:rFonts w:ascii="Calibri" w:eastAsia="Times New Roman" w:hAnsi="Calibri" w:cs="Calibri"/>
                <w:color w:val="272A2E"/>
                <w:lang w:eastAsia="fr-FR"/>
              </w:rPr>
            </w:pPr>
            <w:r w:rsidRPr="006C1AE1">
              <w:rPr>
                <w:rFonts w:ascii="Calibri" w:eastAsia="Times New Roman" w:hAnsi="Calibri" w:cs="Calibri"/>
                <w:color w:val="272A2E"/>
                <w:lang w:eastAsia="fr-FR"/>
              </w:rPr>
              <w:t xml:space="preserve">Produits de fct. </w:t>
            </w:r>
            <w:r w:rsidR="00E3077B" w:rsidRPr="006C1AE1">
              <w:rPr>
                <w:rFonts w:ascii="Calibri" w:eastAsia="Times New Roman" w:hAnsi="Calibri" w:cs="Calibri"/>
                <w:color w:val="272A2E"/>
                <w:lang w:eastAsia="fr-FR"/>
              </w:rPr>
              <w:t>Courant</w:t>
            </w:r>
          </w:p>
        </w:tc>
        <w:tc>
          <w:tcPr>
            <w:tcW w:w="34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rPr>
                <w:rFonts w:ascii="Calibri" w:eastAsia="Times New Roman" w:hAnsi="Calibri" w:cs="Calibri"/>
                <w:color w:val="272A2E"/>
                <w:lang w:eastAsia="fr-FR"/>
              </w:rPr>
            </w:pPr>
            <w:r w:rsidRPr="006C1AE1">
              <w:rPr>
                <w:rFonts w:ascii="Calibri" w:eastAsia="Times New Roman" w:hAnsi="Calibri" w:cs="Calibri"/>
                <w:color w:val="272A2E"/>
                <w:lang w:eastAsia="fr-FR"/>
              </w:rPr>
              <w:t> </w:t>
            </w:r>
          </w:p>
        </w:tc>
        <w:tc>
          <w:tcPr>
            <w:tcW w:w="116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jc w:val="right"/>
              <w:rPr>
                <w:rFonts w:ascii="Calibri" w:eastAsia="Times New Roman" w:hAnsi="Calibri" w:cs="Calibri"/>
                <w:color w:val="272A2E"/>
                <w:lang w:eastAsia="fr-FR"/>
              </w:rPr>
            </w:pPr>
            <w:r>
              <w:rPr>
                <w:rFonts w:ascii="Calibri" w:eastAsia="Times New Roman" w:hAnsi="Calibri" w:cs="Calibri"/>
                <w:color w:val="272A2E"/>
                <w:lang w:eastAsia="fr-FR"/>
              </w:rPr>
              <w:t>19 848 994</w:t>
            </w:r>
          </w:p>
        </w:tc>
      </w:tr>
      <w:tr w:rsidR="006A29CF" w:rsidRPr="006C1AE1" w:rsidTr="006A29CF">
        <w:trPr>
          <w:trHeight w:val="300"/>
        </w:trPr>
        <w:tc>
          <w:tcPr>
            <w:tcW w:w="346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rPr>
                <w:rFonts w:ascii="Calibri" w:eastAsia="Times New Roman" w:hAnsi="Calibri" w:cs="Calibri"/>
                <w:color w:val="272A2E"/>
                <w:lang w:eastAsia="fr-FR"/>
              </w:rPr>
            </w:pPr>
            <w:r w:rsidRPr="006C1AE1">
              <w:rPr>
                <w:rFonts w:ascii="Calibri" w:eastAsia="Times New Roman" w:hAnsi="Calibri" w:cs="Calibri"/>
                <w:color w:val="272A2E"/>
                <w:lang w:eastAsia="fr-FR"/>
              </w:rPr>
              <w:t xml:space="preserve">- Charges de fct. </w:t>
            </w:r>
            <w:r w:rsidR="00E3077B" w:rsidRPr="006C1AE1">
              <w:rPr>
                <w:rFonts w:ascii="Calibri" w:eastAsia="Times New Roman" w:hAnsi="Calibri" w:cs="Calibri"/>
                <w:color w:val="272A2E"/>
                <w:lang w:eastAsia="fr-FR"/>
              </w:rPr>
              <w:t>Courant</w:t>
            </w:r>
          </w:p>
        </w:tc>
        <w:tc>
          <w:tcPr>
            <w:tcW w:w="34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rPr>
                <w:rFonts w:ascii="Calibri" w:eastAsia="Times New Roman" w:hAnsi="Calibri" w:cs="Calibri"/>
                <w:color w:val="272A2E"/>
                <w:lang w:eastAsia="fr-FR"/>
              </w:rPr>
            </w:pPr>
            <w:r w:rsidRPr="006C1AE1">
              <w:rPr>
                <w:rFonts w:ascii="Calibri" w:eastAsia="Times New Roman" w:hAnsi="Calibri" w:cs="Calibri"/>
                <w:color w:val="272A2E"/>
                <w:lang w:eastAsia="fr-FR"/>
              </w:rPr>
              <w:t> </w:t>
            </w:r>
          </w:p>
        </w:tc>
        <w:tc>
          <w:tcPr>
            <w:tcW w:w="116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jc w:val="right"/>
              <w:rPr>
                <w:rFonts w:ascii="Calibri" w:eastAsia="Times New Roman" w:hAnsi="Calibri" w:cs="Calibri"/>
                <w:color w:val="272A2E"/>
                <w:lang w:eastAsia="fr-FR"/>
              </w:rPr>
            </w:pPr>
            <w:r>
              <w:rPr>
                <w:rFonts w:ascii="Calibri" w:eastAsia="Times New Roman" w:hAnsi="Calibri" w:cs="Calibri"/>
                <w:color w:val="272A2E"/>
                <w:lang w:eastAsia="fr-FR"/>
              </w:rPr>
              <w:t>16 150 898</w:t>
            </w:r>
          </w:p>
        </w:tc>
      </w:tr>
      <w:tr w:rsidR="006A29CF" w:rsidRPr="006C1AE1" w:rsidTr="006A29CF">
        <w:trPr>
          <w:trHeight w:val="300"/>
        </w:trPr>
        <w:tc>
          <w:tcPr>
            <w:tcW w:w="3460" w:type="dxa"/>
            <w:tcBorders>
              <w:top w:val="nil"/>
              <w:left w:val="nil"/>
              <w:bottom w:val="nil"/>
              <w:right w:val="nil"/>
            </w:tcBorders>
            <w:shd w:val="clear" w:color="000000" w:fill="82CEE8"/>
            <w:noWrap/>
            <w:vAlign w:val="bottom"/>
            <w:hideMark/>
          </w:tcPr>
          <w:p w:rsidR="006A29CF" w:rsidRPr="006C1AE1" w:rsidRDefault="006A29CF" w:rsidP="006C1AE1">
            <w:pPr>
              <w:spacing w:after="0" w:line="240" w:lineRule="auto"/>
              <w:rPr>
                <w:rFonts w:ascii="Calibri" w:eastAsia="Times New Roman" w:hAnsi="Calibri" w:cs="Calibri"/>
                <w:b/>
                <w:bCs/>
                <w:color w:val="213744"/>
                <w:lang w:eastAsia="fr-FR"/>
              </w:rPr>
            </w:pPr>
            <w:r w:rsidRPr="006C1AE1">
              <w:rPr>
                <w:rFonts w:ascii="Calibri" w:eastAsia="Times New Roman" w:hAnsi="Calibri" w:cs="Calibri"/>
                <w:b/>
                <w:bCs/>
                <w:color w:val="213744"/>
                <w:lang w:eastAsia="fr-FR"/>
              </w:rPr>
              <w:t>= EXCEDENT BRUT COURANT (EBC)</w:t>
            </w:r>
          </w:p>
        </w:tc>
        <w:tc>
          <w:tcPr>
            <w:tcW w:w="340" w:type="dxa"/>
            <w:tcBorders>
              <w:top w:val="nil"/>
              <w:left w:val="nil"/>
              <w:bottom w:val="nil"/>
              <w:right w:val="nil"/>
            </w:tcBorders>
            <w:shd w:val="clear" w:color="000000" w:fill="82CEE8"/>
            <w:noWrap/>
            <w:vAlign w:val="bottom"/>
            <w:hideMark/>
          </w:tcPr>
          <w:p w:rsidR="006A29CF" w:rsidRPr="006C1AE1" w:rsidRDefault="006A29CF" w:rsidP="006C1AE1">
            <w:pPr>
              <w:spacing w:after="0" w:line="240" w:lineRule="auto"/>
              <w:rPr>
                <w:rFonts w:ascii="Calibri" w:eastAsia="Times New Roman" w:hAnsi="Calibri" w:cs="Calibri"/>
                <w:b/>
                <w:bCs/>
                <w:color w:val="213744"/>
                <w:lang w:eastAsia="fr-FR"/>
              </w:rPr>
            </w:pPr>
            <w:r w:rsidRPr="006C1AE1">
              <w:rPr>
                <w:rFonts w:ascii="Calibri" w:eastAsia="Times New Roman" w:hAnsi="Calibri" w:cs="Calibri"/>
                <w:b/>
                <w:bCs/>
                <w:color w:val="213744"/>
                <w:lang w:eastAsia="fr-FR"/>
              </w:rPr>
              <w:t> </w:t>
            </w:r>
          </w:p>
        </w:tc>
        <w:tc>
          <w:tcPr>
            <w:tcW w:w="1160" w:type="dxa"/>
            <w:tcBorders>
              <w:top w:val="nil"/>
              <w:left w:val="nil"/>
              <w:bottom w:val="nil"/>
              <w:right w:val="nil"/>
            </w:tcBorders>
            <w:shd w:val="clear" w:color="000000" w:fill="82CEE8"/>
            <w:noWrap/>
            <w:vAlign w:val="bottom"/>
            <w:hideMark/>
          </w:tcPr>
          <w:p w:rsidR="006A29CF" w:rsidRPr="006C1AE1" w:rsidRDefault="006A29CF" w:rsidP="006C1AE1">
            <w:pPr>
              <w:spacing w:after="0" w:line="240" w:lineRule="auto"/>
              <w:jc w:val="right"/>
              <w:rPr>
                <w:rFonts w:ascii="Calibri" w:eastAsia="Times New Roman" w:hAnsi="Calibri" w:cs="Calibri"/>
                <w:b/>
                <w:bCs/>
                <w:color w:val="213744"/>
                <w:lang w:eastAsia="fr-FR"/>
              </w:rPr>
            </w:pPr>
            <w:r>
              <w:rPr>
                <w:rFonts w:ascii="Calibri" w:eastAsia="Times New Roman" w:hAnsi="Calibri" w:cs="Calibri"/>
                <w:b/>
                <w:bCs/>
                <w:color w:val="213744"/>
                <w:lang w:eastAsia="fr-FR"/>
              </w:rPr>
              <w:t>3 698 096</w:t>
            </w:r>
          </w:p>
        </w:tc>
      </w:tr>
      <w:tr w:rsidR="006A29CF" w:rsidRPr="006C1AE1" w:rsidTr="006A29CF">
        <w:trPr>
          <w:trHeight w:val="300"/>
        </w:trPr>
        <w:tc>
          <w:tcPr>
            <w:tcW w:w="346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rPr>
                <w:rFonts w:ascii="Calibri" w:eastAsia="Times New Roman" w:hAnsi="Calibri" w:cs="Calibri"/>
                <w:b/>
                <w:bCs/>
                <w:color w:val="272A2E"/>
                <w:lang w:eastAsia="fr-FR"/>
              </w:rPr>
            </w:pPr>
            <w:r w:rsidRPr="006C1AE1">
              <w:rPr>
                <w:rFonts w:ascii="Calibri" w:eastAsia="Times New Roman" w:hAnsi="Calibri" w:cs="Calibri"/>
                <w:b/>
                <w:bCs/>
                <w:color w:val="272A2E"/>
                <w:lang w:eastAsia="fr-FR"/>
              </w:rPr>
              <w:t>+ Solde exceptionnel large</w:t>
            </w:r>
          </w:p>
        </w:tc>
        <w:tc>
          <w:tcPr>
            <w:tcW w:w="34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rPr>
                <w:rFonts w:ascii="Calibri" w:eastAsia="Times New Roman" w:hAnsi="Calibri" w:cs="Calibri"/>
                <w:b/>
                <w:bCs/>
                <w:color w:val="272A2E"/>
                <w:lang w:eastAsia="fr-FR"/>
              </w:rPr>
            </w:pPr>
            <w:r w:rsidRPr="006C1AE1">
              <w:rPr>
                <w:rFonts w:ascii="Calibri" w:eastAsia="Times New Roman" w:hAnsi="Calibri" w:cs="Calibri"/>
                <w:b/>
                <w:bCs/>
                <w:color w:val="272A2E"/>
                <w:lang w:eastAsia="fr-FR"/>
              </w:rPr>
              <w:t> </w:t>
            </w:r>
          </w:p>
        </w:tc>
        <w:tc>
          <w:tcPr>
            <w:tcW w:w="116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jc w:val="right"/>
              <w:rPr>
                <w:rFonts w:ascii="Calibri" w:eastAsia="Times New Roman" w:hAnsi="Calibri" w:cs="Calibri"/>
                <w:b/>
                <w:bCs/>
                <w:color w:val="272A2E"/>
                <w:lang w:eastAsia="fr-FR"/>
              </w:rPr>
            </w:pPr>
            <w:r>
              <w:rPr>
                <w:rFonts w:ascii="Calibri" w:eastAsia="Times New Roman" w:hAnsi="Calibri" w:cs="Calibri"/>
                <w:b/>
                <w:bCs/>
                <w:color w:val="272A2E"/>
                <w:lang w:eastAsia="fr-FR"/>
              </w:rPr>
              <w:t>96 847</w:t>
            </w:r>
          </w:p>
        </w:tc>
      </w:tr>
      <w:tr w:rsidR="006A29CF" w:rsidRPr="006C1AE1" w:rsidTr="006A29CF">
        <w:trPr>
          <w:trHeight w:val="300"/>
        </w:trPr>
        <w:tc>
          <w:tcPr>
            <w:tcW w:w="346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rPr>
                <w:rFonts w:ascii="Calibri" w:eastAsia="Times New Roman" w:hAnsi="Calibri" w:cs="Calibri"/>
                <w:color w:val="272A2E"/>
                <w:lang w:eastAsia="fr-FR"/>
              </w:rPr>
            </w:pPr>
            <w:r w:rsidRPr="006C1AE1">
              <w:rPr>
                <w:rFonts w:ascii="Calibri" w:eastAsia="Times New Roman" w:hAnsi="Calibri" w:cs="Calibri"/>
                <w:color w:val="272A2E"/>
                <w:lang w:eastAsia="fr-FR"/>
              </w:rPr>
              <w:t xml:space="preserve">        = Produits exceptionnels larges*</w:t>
            </w:r>
          </w:p>
        </w:tc>
        <w:tc>
          <w:tcPr>
            <w:tcW w:w="34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rPr>
                <w:rFonts w:ascii="Calibri" w:eastAsia="Times New Roman" w:hAnsi="Calibri" w:cs="Calibri"/>
                <w:color w:val="272A2E"/>
                <w:lang w:eastAsia="fr-FR"/>
              </w:rPr>
            </w:pPr>
            <w:r w:rsidRPr="006C1AE1">
              <w:rPr>
                <w:rFonts w:ascii="Calibri" w:eastAsia="Times New Roman" w:hAnsi="Calibri" w:cs="Calibri"/>
                <w:color w:val="272A2E"/>
                <w:lang w:eastAsia="fr-FR"/>
              </w:rPr>
              <w:t> </w:t>
            </w:r>
          </w:p>
        </w:tc>
        <w:tc>
          <w:tcPr>
            <w:tcW w:w="116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jc w:val="right"/>
              <w:rPr>
                <w:rFonts w:ascii="Calibri" w:eastAsia="Times New Roman" w:hAnsi="Calibri" w:cs="Calibri"/>
                <w:color w:val="272A2E"/>
                <w:lang w:eastAsia="fr-FR"/>
              </w:rPr>
            </w:pPr>
            <w:r>
              <w:rPr>
                <w:rFonts w:ascii="Calibri" w:eastAsia="Times New Roman" w:hAnsi="Calibri" w:cs="Calibri"/>
                <w:color w:val="272A2E"/>
                <w:lang w:eastAsia="fr-FR"/>
              </w:rPr>
              <w:t>97 158</w:t>
            </w:r>
          </w:p>
        </w:tc>
      </w:tr>
      <w:tr w:rsidR="006A29CF" w:rsidRPr="006C1AE1" w:rsidTr="006A29CF">
        <w:trPr>
          <w:trHeight w:val="300"/>
        </w:trPr>
        <w:tc>
          <w:tcPr>
            <w:tcW w:w="346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rPr>
                <w:rFonts w:ascii="Calibri" w:eastAsia="Times New Roman" w:hAnsi="Calibri" w:cs="Calibri"/>
                <w:color w:val="272A2E"/>
                <w:lang w:eastAsia="fr-FR"/>
              </w:rPr>
            </w:pPr>
            <w:r w:rsidRPr="006C1AE1">
              <w:rPr>
                <w:rFonts w:ascii="Calibri" w:eastAsia="Times New Roman" w:hAnsi="Calibri" w:cs="Calibri"/>
                <w:color w:val="272A2E"/>
                <w:lang w:eastAsia="fr-FR"/>
              </w:rPr>
              <w:t xml:space="preserve">        - Charges exceptionnelles larges*</w:t>
            </w:r>
          </w:p>
        </w:tc>
        <w:tc>
          <w:tcPr>
            <w:tcW w:w="34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rPr>
                <w:rFonts w:ascii="Calibri" w:eastAsia="Times New Roman" w:hAnsi="Calibri" w:cs="Calibri"/>
                <w:color w:val="272A2E"/>
                <w:lang w:eastAsia="fr-FR"/>
              </w:rPr>
            </w:pPr>
            <w:r w:rsidRPr="006C1AE1">
              <w:rPr>
                <w:rFonts w:ascii="Calibri" w:eastAsia="Times New Roman" w:hAnsi="Calibri" w:cs="Calibri"/>
                <w:color w:val="272A2E"/>
                <w:lang w:eastAsia="fr-FR"/>
              </w:rPr>
              <w:t> </w:t>
            </w:r>
          </w:p>
        </w:tc>
        <w:tc>
          <w:tcPr>
            <w:tcW w:w="116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jc w:val="right"/>
              <w:rPr>
                <w:rFonts w:ascii="Calibri" w:eastAsia="Times New Roman" w:hAnsi="Calibri" w:cs="Calibri"/>
                <w:color w:val="272A2E"/>
                <w:lang w:eastAsia="fr-FR"/>
              </w:rPr>
            </w:pPr>
            <w:r>
              <w:rPr>
                <w:rFonts w:ascii="Calibri" w:eastAsia="Times New Roman" w:hAnsi="Calibri" w:cs="Calibri"/>
                <w:color w:val="272A2E"/>
                <w:lang w:eastAsia="fr-FR"/>
              </w:rPr>
              <w:t>311</w:t>
            </w:r>
          </w:p>
        </w:tc>
      </w:tr>
      <w:tr w:rsidR="006A29CF" w:rsidRPr="006C1AE1" w:rsidTr="006A29CF">
        <w:trPr>
          <w:trHeight w:val="300"/>
        </w:trPr>
        <w:tc>
          <w:tcPr>
            <w:tcW w:w="3460" w:type="dxa"/>
            <w:tcBorders>
              <w:top w:val="nil"/>
              <w:left w:val="nil"/>
              <w:bottom w:val="nil"/>
              <w:right w:val="nil"/>
            </w:tcBorders>
            <w:shd w:val="clear" w:color="000000" w:fill="82CEE8"/>
            <w:noWrap/>
            <w:vAlign w:val="bottom"/>
            <w:hideMark/>
          </w:tcPr>
          <w:p w:rsidR="006A29CF" w:rsidRPr="006C1AE1" w:rsidRDefault="006A29CF" w:rsidP="006C1AE1">
            <w:pPr>
              <w:spacing w:after="0" w:line="240" w:lineRule="auto"/>
              <w:rPr>
                <w:rFonts w:ascii="Calibri" w:eastAsia="Times New Roman" w:hAnsi="Calibri" w:cs="Calibri"/>
                <w:b/>
                <w:bCs/>
                <w:color w:val="213744"/>
                <w:lang w:eastAsia="fr-FR"/>
              </w:rPr>
            </w:pPr>
            <w:r w:rsidRPr="006C1AE1">
              <w:rPr>
                <w:rFonts w:ascii="Calibri" w:eastAsia="Times New Roman" w:hAnsi="Calibri" w:cs="Calibri"/>
                <w:b/>
                <w:bCs/>
                <w:color w:val="213744"/>
                <w:lang w:eastAsia="fr-FR"/>
              </w:rPr>
              <w:t>= EPARGNE DE GESTION (EG)</w:t>
            </w:r>
          </w:p>
        </w:tc>
        <w:tc>
          <w:tcPr>
            <w:tcW w:w="340" w:type="dxa"/>
            <w:tcBorders>
              <w:top w:val="nil"/>
              <w:left w:val="nil"/>
              <w:bottom w:val="nil"/>
              <w:right w:val="nil"/>
            </w:tcBorders>
            <w:shd w:val="clear" w:color="000000" w:fill="82CEE8"/>
            <w:noWrap/>
            <w:vAlign w:val="bottom"/>
            <w:hideMark/>
          </w:tcPr>
          <w:p w:rsidR="006A29CF" w:rsidRPr="006C1AE1" w:rsidRDefault="006A29CF" w:rsidP="006C1AE1">
            <w:pPr>
              <w:spacing w:after="0" w:line="240" w:lineRule="auto"/>
              <w:rPr>
                <w:rFonts w:ascii="Calibri" w:eastAsia="Times New Roman" w:hAnsi="Calibri" w:cs="Calibri"/>
                <w:b/>
                <w:bCs/>
                <w:color w:val="213744"/>
                <w:lang w:eastAsia="fr-FR"/>
              </w:rPr>
            </w:pPr>
            <w:r w:rsidRPr="006C1AE1">
              <w:rPr>
                <w:rFonts w:ascii="Calibri" w:eastAsia="Times New Roman" w:hAnsi="Calibri" w:cs="Calibri"/>
                <w:b/>
                <w:bCs/>
                <w:color w:val="213744"/>
                <w:lang w:eastAsia="fr-FR"/>
              </w:rPr>
              <w:t> </w:t>
            </w:r>
          </w:p>
        </w:tc>
        <w:tc>
          <w:tcPr>
            <w:tcW w:w="1160" w:type="dxa"/>
            <w:tcBorders>
              <w:top w:val="nil"/>
              <w:left w:val="nil"/>
              <w:bottom w:val="nil"/>
              <w:right w:val="nil"/>
            </w:tcBorders>
            <w:shd w:val="clear" w:color="000000" w:fill="82CEE8"/>
            <w:noWrap/>
            <w:vAlign w:val="bottom"/>
            <w:hideMark/>
          </w:tcPr>
          <w:p w:rsidR="006A29CF" w:rsidRPr="006C1AE1" w:rsidRDefault="006A29CF" w:rsidP="006C1AE1">
            <w:pPr>
              <w:spacing w:after="0" w:line="240" w:lineRule="auto"/>
              <w:jc w:val="right"/>
              <w:rPr>
                <w:rFonts w:ascii="Calibri" w:eastAsia="Times New Roman" w:hAnsi="Calibri" w:cs="Calibri"/>
                <w:b/>
                <w:bCs/>
                <w:color w:val="213744"/>
                <w:lang w:eastAsia="fr-FR"/>
              </w:rPr>
            </w:pPr>
            <w:r w:rsidRPr="006C1AE1">
              <w:rPr>
                <w:rFonts w:ascii="Calibri" w:eastAsia="Times New Roman" w:hAnsi="Calibri" w:cs="Calibri"/>
                <w:b/>
                <w:bCs/>
                <w:color w:val="213744"/>
                <w:lang w:eastAsia="fr-FR"/>
              </w:rPr>
              <w:t>3</w:t>
            </w:r>
            <w:r>
              <w:rPr>
                <w:rFonts w:ascii="Calibri" w:eastAsia="Times New Roman" w:hAnsi="Calibri" w:cs="Calibri"/>
                <w:b/>
                <w:bCs/>
                <w:color w:val="213744"/>
                <w:lang w:eastAsia="fr-FR"/>
              </w:rPr>
              <w:t> 794 943</w:t>
            </w:r>
          </w:p>
        </w:tc>
      </w:tr>
      <w:tr w:rsidR="006A29CF" w:rsidRPr="006C1AE1" w:rsidTr="006A29CF">
        <w:trPr>
          <w:trHeight w:val="300"/>
        </w:trPr>
        <w:tc>
          <w:tcPr>
            <w:tcW w:w="346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rPr>
                <w:rFonts w:ascii="Calibri" w:eastAsia="Times New Roman" w:hAnsi="Calibri" w:cs="Calibri"/>
                <w:color w:val="272A2E"/>
                <w:lang w:eastAsia="fr-FR"/>
              </w:rPr>
            </w:pPr>
            <w:r w:rsidRPr="006C1AE1">
              <w:rPr>
                <w:rFonts w:ascii="Calibri" w:eastAsia="Times New Roman" w:hAnsi="Calibri" w:cs="Calibri"/>
                <w:color w:val="272A2E"/>
                <w:lang w:eastAsia="fr-FR"/>
              </w:rPr>
              <w:t>- Intérêts</w:t>
            </w:r>
          </w:p>
        </w:tc>
        <w:tc>
          <w:tcPr>
            <w:tcW w:w="34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rPr>
                <w:rFonts w:ascii="Calibri" w:eastAsia="Times New Roman" w:hAnsi="Calibri" w:cs="Calibri"/>
                <w:color w:val="272A2E"/>
                <w:lang w:eastAsia="fr-FR"/>
              </w:rPr>
            </w:pPr>
            <w:r w:rsidRPr="006C1AE1">
              <w:rPr>
                <w:rFonts w:ascii="Calibri" w:eastAsia="Times New Roman" w:hAnsi="Calibri" w:cs="Calibri"/>
                <w:color w:val="272A2E"/>
                <w:lang w:eastAsia="fr-FR"/>
              </w:rPr>
              <w:t> </w:t>
            </w:r>
          </w:p>
        </w:tc>
        <w:tc>
          <w:tcPr>
            <w:tcW w:w="116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jc w:val="right"/>
              <w:rPr>
                <w:rFonts w:ascii="Calibri" w:eastAsia="Times New Roman" w:hAnsi="Calibri" w:cs="Calibri"/>
                <w:color w:val="272A2E"/>
                <w:lang w:eastAsia="fr-FR"/>
              </w:rPr>
            </w:pPr>
            <w:r w:rsidRPr="006C1AE1">
              <w:rPr>
                <w:rFonts w:ascii="Calibri" w:eastAsia="Times New Roman" w:hAnsi="Calibri" w:cs="Calibri"/>
                <w:color w:val="272A2E"/>
                <w:lang w:eastAsia="fr-FR"/>
              </w:rPr>
              <w:t xml:space="preserve"> </w:t>
            </w:r>
            <w:r>
              <w:rPr>
                <w:rFonts w:ascii="Calibri" w:eastAsia="Times New Roman" w:hAnsi="Calibri" w:cs="Calibri"/>
                <w:color w:val="272A2E"/>
                <w:lang w:eastAsia="fr-FR"/>
              </w:rPr>
              <w:t>205 303</w:t>
            </w:r>
          </w:p>
        </w:tc>
      </w:tr>
      <w:tr w:rsidR="006A29CF" w:rsidRPr="006C1AE1" w:rsidTr="006A29CF">
        <w:trPr>
          <w:trHeight w:val="300"/>
        </w:trPr>
        <w:tc>
          <w:tcPr>
            <w:tcW w:w="3460" w:type="dxa"/>
            <w:tcBorders>
              <w:top w:val="nil"/>
              <w:left w:val="nil"/>
              <w:bottom w:val="nil"/>
              <w:right w:val="nil"/>
            </w:tcBorders>
            <w:shd w:val="clear" w:color="000000" w:fill="82CEE8"/>
            <w:noWrap/>
            <w:vAlign w:val="bottom"/>
            <w:hideMark/>
          </w:tcPr>
          <w:p w:rsidR="006A29CF" w:rsidRPr="006C1AE1" w:rsidRDefault="006A29CF" w:rsidP="006C1AE1">
            <w:pPr>
              <w:spacing w:after="0" w:line="240" w:lineRule="auto"/>
              <w:rPr>
                <w:rFonts w:ascii="Calibri" w:eastAsia="Times New Roman" w:hAnsi="Calibri" w:cs="Calibri"/>
                <w:b/>
                <w:bCs/>
                <w:color w:val="213744"/>
                <w:lang w:eastAsia="fr-FR"/>
              </w:rPr>
            </w:pPr>
            <w:r w:rsidRPr="006C1AE1">
              <w:rPr>
                <w:rFonts w:ascii="Calibri" w:eastAsia="Times New Roman" w:hAnsi="Calibri" w:cs="Calibri"/>
                <w:b/>
                <w:bCs/>
                <w:color w:val="213744"/>
                <w:lang w:eastAsia="fr-FR"/>
              </w:rPr>
              <w:t>= EPARGNE BRUTE (EB)</w:t>
            </w:r>
          </w:p>
        </w:tc>
        <w:tc>
          <w:tcPr>
            <w:tcW w:w="340" w:type="dxa"/>
            <w:tcBorders>
              <w:top w:val="nil"/>
              <w:left w:val="nil"/>
              <w:bottom w:val="nil"/>
              <w:right w:val="nil"/>
            </w:tcBorders>
            <w:shd w:val="clear" w:color="000000" w:fill="82CEE8"/>
            <w:noWrap/>
            <w:vAlign w:val="bottom"/>
            <w:hideMark/>
          </w:tcPr>
          <w:p w:rsidR="006A29CF" w:rsidRPr="006C1AE1" w:rsidRDefault="006A29CF" w:rsidP="006C1AE1">
            <w:pPr>
              <w:spacing w:after="0" w:line="240" w:lineRule="auto"/>
              <w:rPr>
                <w:rFonts w:ascii="Calibri" w:eastAsia="Times New Roman" w:hAnsi="Calibri" w:cs="Calibri"/>
                <w:b/>
                <w:bCs/>
                <w:color w:val="213744"/>
                <w:lang w:eastAsia="fr-FR"/>
              </w:rPr>
            </w:pPr>
            <w:r w:rsidRPr="006C1AE1">
              <w:rPr>
                <w:rFonts w:ascii="Calibri" w:eastAsia="Times New Roman" w:hAnsi="Calibri" w:cs="Calibri"/>
                <w:b/>
                <w:bCs/>
                <w:color w:val="213744"/>
                <w:lang w:eastAsia="fr-FR"/>
              </w:rPr>
              <w:t> </w:t>
            </w:r>
          </w:p>
        </w:tc>
        <w:tc>
          <w:tcPr>
            <w:tcW w:w="1160" w:type="dxa"/>
            <w:tcBorders>
              <w:top w:val="nil"/>
              <w:left w:val="nil"/>
              <w:bottom w:val="nil"/>
              <w:right w:val="nil"/>
            </w:tcBorders>
            <w:shd w:val="clear" w:color="000000" w:fill="82CEE8"/>
            <w:noWrap/>
            <w:vAlign w:val="bottom"/>
            <w:hideMark/>
          </w:tcPr>
          <w:p w:rsidR="006A29CF" w:rsidRPr="006C1AE1" w:rsidRDefault="006A29CF" w:rsidP="006C1AE1">
            <w:pPr>
              <w:spacing w:after="0" w:line="240" w:lineRule="auto"/>
              <w:jc w:val="right"/>
              <w:rPr>
                <w:rFonts w:ascii="Calibri" w:eastAsia="Times New Roman" w:hAnsi="Calibri" w:cs="Calibri"/>
                <w:b/>
                <w:bCs/>
                <w:color w:val="213744"/>
                <w:lang w:eastAsia="fr-FR"/>
              </w:rPr>
            </w:pPr>
            <w:r w:rsidRPr="006C1AE1">
              <w:rPr>
                <w:rFonts w:ascii="Calibri" w:eastAsia="Times New Roman" w:hAnsi="Calibri" w:cs="Calibri"/>
                <w:b/>
                <w:bCs/>
                <w:color w:val="213744"/>
                <w:lang w:eastAsia="fr-FR"/>
              </w:rPr>
              <w:t>3</w:t>
            </w:r>
            <w:r>
              <w:rPr>
                <w:rFonts w:ascii="Calibri" w:eastAsia="Times New Roman" w:hAnsi="Calibri" w:cs="Calibri"/>
                <w:b/>
                <w:bCs/>
                <w:color w:val="213744"/>
                <w:lang w:eastAsia="fr-FR"/>
              </w:rPr>
              <w:t> 589 640</w:t>
            </w:r>
          </w:p>
        </w:tc>
      </w:tr>
      <w:tr w:rsidR="006A29CF" w:rsidRPr="006C1AE1" w:rsidTr="006A29CF">
        <w:trPr>
          <w:trHeight w:val="300"/>
        </w:trPr>
        <w:tc>
          <w:tcPr>
            <w:tcW w:w="346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rPr>
                <w:rFonts w:ascii="Calibri" w:eastAsia="Times New Roman" w:hAnsi="Calibri" w:cs="Calibri"/>
                <w:color w:val="272A2E"/>
                <w:lang w:eastAsia="fr-FR"/>
              </w:rPr>
            </w:pPr>
            <w:r w:rsidRPr="006C1AE1">
              <w:rPr>
                <w:rFonts w:ascii="Calibri" w:eastAsia="Times New Roman" w:hAnsi="Calibri" w:cs="Calibri"/>
                <w:color w:val="272A2E"/>
                <w:lang w:eastAsia="fr-FR"/>
              </w:rPr>
              <w:t>- Capital</w:t>
            </w:r>
          </w:p>
        </w:tc>
        <w:tc>
          <w:tcPr>
            <w:tcW w:w="34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rPr>
                <w:rFonts w:ascii="Calibri" w:eastAsia="Times New Roman" w:hAnsi="Calibri" w:cs="Calibri"/>
                <w:color w:val="272A2E"/>
                <w:lang w:eastAsia="fr-FR"/>
              </w:rPr>
            </w:pPr>
            <w:r w:rsidRPr="006C1AE1">
              <w:rPr>
                <w:rFonts w:ascii="Calibri" w:eastAsia="Times New Roman" w:hAnsi="Calibri" w:cs="Calibri"/>
                <w:color w:val="272A2E"/>
                <w:lang w:eastAsia="fr-FR"/>
              </w:rPr>
              <w:t> </w:t>
            </w:r>
          </w:p>
        </w:tc>
        <w:tc>
          <w:tcPr>
            <w:tcW w:w="1160" w:type="dxa"/>
            <w:tcBorders>
              <w:top w:val="nil"/>
              <w:left w:val="nil"/>
              <w:bottom w:val="nil"/>
              <w:right w:val="nil"/>
            </w:tcBorders>
            <w:shd w:val="clear" w:color="000000" w:fill="FAF9F6"/>
            <w:noWrap/>
            <w:vAlign w:val="bottom"/>
            <w:hideMark/>
          </w:tcPr>
          <w:p w:rsidR="006A29CF" w:rsidRPr="006C1AE1" w:rsidRDefault="006A29CF" w:rsidP="006C1AE1">
            <w:pPr>
              <w:spacing w:after="0" w:line="240" w:lineRule="auto"/>
              <w:jc w:val="right"/>
              <w:rPr>
                <w:rFonts w:ascii="Calibri" w:eastAsia="Times New Roman" w:hAnsi="Calibri" w:cs="Calibri"/>
                <w:color w:val="272A2E"/>
                <w:lang w:eastAsia="fr-FR"/>
              </w:rPr>
            </w:pPr>
            <w:r w:rsidRPr="006C1AE1">
              <w:rPr>
                <w:rFonts w:ascii="Calibri" w:eastAsia="Times New Roman" w:hAnsi="Calibri" w:cs="Calibri"/>
                <w:color w:val="272A2E"/>
                <w:lang w:eastAsia="fr-FR"/>
              </w:rPr>
              <w:t xml:space="preserve"> 3</w:t>
            </w:r>
            <w:r>
              <w:rPr>
                <w:rFonts w:ascii="Calibri" w:eastAsia="Times New Roman" w:hAnsi="Calibri" w:cs="Calibri"/>
                <w:color w:val="272A2E"/>
                <w:lang w:eastAsia="fr-FR"/>
              </w:rPr>
              <w:t>53 774</w:t>
            </w:r>
          </w:p>
        </w:tc>
      </w:tr>
      <w:tr w:rsidR="006A29CF" w:rsidRPr="006C1AE1" w:rsidTr="006A29CF">
        <w:trPr>
          <w:trHeight w:val="300"/>
        </w:trPr>
        <w:tc>
          <w:tcPr>
            <w:tcW w:w="3460" w:type="dxa"/>
            <w:tcBorders>
              <w:top w:val="nil"/>
              <w:left w:val="nil"/>
              <w:bottom w:val="nil"/>
              <w:right w:val="nil"/>
            </w:tcBorders>
            <w:shd w:val="clear" w:color="000000" w:fill="82CEE8"/>
            <w:noWrap/>
            <w:vAlign w:val="bottom"/>
            <w:hideMark/>
          </w:tcPr>
          <w:p w:rsidR="006A29CF" w:rsidRPr="006C1AE1" w:rsidRDefault="006A29CF" w:rsidP="006C1AE1">
            <w:pPr>
              <w:spacing w:after="0" w:line="240" w:lineRule="auto"/>
              <w:rPr>
                <w:rFonts w:ascii="Calibri" w:eastAsia="Times New Roman" w:hAnsi="Calibri" w:cs="Calibri"/>
                <w:b/>
                <w:bCs/>
                <w:color w:val="213744"/>
                <w:lang w:eastAsia="fr-FR"/>
              </w:rPr>
            </w:pPr>
            <w:r w:rsidRPr="006C1AE1">
              <w:rPr>
                <w:rFonts w:ascii="Calibri" w:eastAsia="Times New Roman" w:hAnsi="Calibri" w:cs="Calibri"/>
                <w:b/>
                <w:bCs/>
                <w:color w:val="213744"/>
                <w:lang w:eastAsia="fr-FR"/>
              </w:rPr>
              <w:t>= EPARGNE NETTE (EN)</w:t>
            </w:r>
          </w:p>
        </w:tc>
        <w:tc>
          <w:tcPr>
            <w:tcW w:w="340" w:type="dxa"/>
            <w:tcBorders>
              <w:top w:val="nil"/>
              <w:left w:val="nil"/>
              <w:bottom w:val="nil"/>
              <w:right w:val="nil"/>
            </w:tcBorders>
            <w:shd w:val="clear" w:color="000000" w:fill="82CEE8"/>
            <w:noWrap/>
            <w:vAlign w:val="bottom"/>
            <w:hideMark/>
          </w:tcPr>
          <w:p w:rsidR="006A29CF" w:rsidRPr="006C1AE1" w:rsidRDefault="006A29CF" w:rsidP="006C1AE1">
            <w:pPr>
              <w:spacing w:after="0" w:line="240" w:lineRule="auto"/>
              <w:rPr>
                <w:rFonts w:ascii="Calibri" w:eastAsia="Times New Roman" w:hAnsi="Calibri" w:cs="Calibri"/>
                <w:b/>
                <w:bCs/>
                <w:color w:val="213744"/>
                <w:lang w:eastAsia="fr-FR"/>
              </w:rPr>
            </w:pPr>
            <w:r w:rsidRPr="006C1AE1">
              <w:rPr>
                <w:rFonts w:ascii="Calibri" w:eastAsia="Times New Roman" w:hAnsi="Calibri" w:cs="Calibri"/>
                <w:b/>
                <w:bCs/>
                <w:color w:val="213744"/>
                <w:lang w:eastAsia="fr-FR"/>
              </w:rPr>
              <w:t> </w:t>
            </w:r>
          </w:p>
        </w:tc>
        <w:tc>
          <w:tcPr>
            <w:tcW w:w="1160" w:type="dxa"/>
            <w:tcBorders>
              <w:top w:val="nil"/>
              <w:left w:val="nil"/>
              <w:bottom w:val="nil"/>
              <w:right w:val="nil"/>
            </w:tcBorders>
            <w:shd w:val="clear" w:color="000000" w:fill="82CEE8"/>
            <w:noWrap/>
            <w:vAlign w:val="bottom"/>
            <w:hideMark/>
          </w:tcPr>
          <w:p w:rsidR="006A29CF" w:rsidRPr="006C1AE1" w:rsidRDefault="006A29CF" w:rsidP="006C1AE1">
            <w:pPr>
              <w:spacing w:after="0" w:line="240" w:lineRule="auto"/>
              <w:jc w:val="right"/>
              <w:rPr>
                <w:rFonts w:ascii="Calibri" w:eastAsia="Times New Roman" w:hAnsi="Calibri" w:cs="Calibri"/>
                <w:b/>
                <w:bCs/>
                <w:color w:val="213744"/>
                <w:lang w:eastAsia="fr-FR"/>
              </w:rPr>
            </w:pPr>
            <w:r>
              <w:rPr>
                <w:rFonts w:ascii="Calibri" w:eastAsia="Times New Roman" w:hAnsi="Calibri" w:cs="Calibri"/>
                <w:b/>
                <w:bCs/>
                <w:color w:val="213744"/>
                <w:lang w:eastAsia="fr-FR"/>
              </w:rPr>
              <w:t>3 235 866</w:t>
            </w:r>
          </w:p>
        </w:tc>
      </w:tr>
    </w:tbl>
    <w:p w:rsidR="00A079E4" w:rsidRDefault="00A079E4" w:rsidP="00273D51">
      <w:pPr>
        <w:jc w:val="both"/>
        <w:rPr>
          <w:b/>
          <w:u w:val="single"/>
        </w:rPr>
      </w:pPr>
    </w:p>
    <w:p w:rsidR="003E0C0D" w:rsidRDefault="003E0C0D" w:rsidP="00273D51">
      <w:pPr>
        <w:jc w:val="both"/>
        <w:rPr>
          <w:b/>
          <w:u w:val="single"/>
        </w:rPr>
      </w:pPr>
    </w:p>
    <w:bookmarkEnd w:id="1"/>
    <w:p w:rsidR="003E0C0D" w:rsidRDefault="003E0C0D" w:rsidP="00273D51">
      <w:pPr>
        <w:jc w:val="both"/>
        <w:rPr>
          <w:b/>
          <w:u w:val="single"/>
        </w:rPr>
      </w:pPr>
    </w:p>
    <w:p w:rsidR="003E0C0D" w:rsidRDefault="003E0C0D" w:rsidP="00273D51">
      <w:pPr>
        <w:jc w:val="both"/>
        <w:rPr>
          <w:b/>
          <w:u w:val="single"/>
        </w:rPr>
      </w:pPr>
    </w:p>
    <w:p w:rsidR="003E0C0D" w:rsidRDefault="003E0C0D" w:rsidP="00273D51">
      <w:pPr>
        <w:jc w:val="both"/>
        <w:rPr>
          <w:b/>
          <w:u w:val="single"/>
        </w:rPr>
      </w:pPr>
    </w:p>
    <w:p w:rsidR="003E0C0D" w:rsidRDefault="003E0C0D" w:rsidP="00273D51">
      <w:pPr>
        <w:jc w:val="both"/>
        <w:rPr>
          <w:b/>
          <w:u w:val="single"/>
        </w:rPr>
      </w:pPr>
    </w:p>
    <w:p w:rsidR="003E0C0D" w:rsidRDefault="003E0C0D" w:rsidP="00273D51">
      <w:pPr>
        <w:jc w:val="both"/>
        <w:rPr>
          <w:b/>
          <w:u w:val="single"/>
        </w:rPr>
      </w:pPr>
    </w:p>
    <w:p w:rsidR="003E0C0D" w:rsidRDefault="003E0C0D" w:rsidP="00273D51">
      <w:pPr>
        <w:jc w:val="both"/>
        <w:rPr>
          <w:b/>
          <w:u w:val="single"/>
        </w:rPr>
      </w:pPr>
    </w:p>
    <w:p w:rsidR="003967D3" w:rsidRDefault="003967D3" w:rsidP="003967D3">
      <w:pPr>
        <w:pBdr>
          <w:top w:val="single" w:sz="4" w:space="1" w:color="auto"/>
          <w:left w:val="single" w:sz="4" w:space="4" w:color="auto"/>
          <w:bottom w:val="single" w:sz="4" w:space="1" w:color="auto"/>
          <w:right w:val="single" w:sz="4" w:space="4" w:color="auto"/>
        </w:pBdr>
        <w:shd w:val="clear" w:color="auto" w:fill="D5DCE4" w:themeFill="text2" w:themeFillTint="33"/>
        <w:jc w:val="center"/>
        <w:rPr>
          <w:b/>
          <w:sz w:val="24"/>
        </w:rPr>
      </w:pPr>
    </w:p>
    <w:p w:rsidR="00273D51" w:rsidRPr="003967D3" w:rsidRDefault="00273D51" w:rsidP="003967D3">
      <w:pPr>
        <w:pBdr>
          <w:top w:val="single" w:sz="4" w:space="1" w:color="auto"/>
          <w:left w:val="single" w:sz="4" w:space="4" w:color="auto"/>
          <w:bottom w:val="single" w:sz="4" w:space="1" w:color="auto"/>
          <w:right w:val="single" w:sz="4" w:space="4" w:color="auto"/>
        </w:pBdr>
        <w:shd w:val="clear" w:color="auto" w:fill="D5DCE4" w:themeFill="text2" w:themeFillTint="33"/>
        <w:jc w:val="center"/>
        <w:rPr>
          <w:b/>
          <w:sz w:val="32"/>
        </w:rPr>
      </w:pPr>
      <w:r w:rsidRPr="003967D3">
        <w:rPr>
          <w:b/>
          <w:sz w:val="32"/>
        </w:rPr>
        <w:t>AFFECTION DES RESULTATS</w:t>
      </w:r>
    </w:p>
    <w:p w:rsidR="003967D3" w:rsidRPr="003967D3" w:rsidRDefault="003967D3" w:rsidP="003967D3">
      <w:pPr>
        <w:pBdr>
          <w:top w:val="single" w:sz="4" w:space="1" w:color="auto"/>
          <w:left w:val="single" w:sz="4" w:space="4" w:color="auto"/>
          <w:bottom w:val="single" w:sz="4" w:space="1" w:color="auto"/>
          <w:right w:val="single" w:sz="4" w:space="4" w:color="auto"/>
        </w:pBdr>
        <w:shd w:val="clear" w:color="auto" w:fill="D5DCE4" w:themeFill="text2" w:themeFillTint="33"/>
        <w:jc w:val="center"/>
        <w:rPr>
          <w:b/>
          <w:sz w:val="24"/>
        </w:rPr>
      </w:pPr>
    </w:p>
    <w:p w:rsidR="006A6298" w:rsidRPr="006A6298" w:rsidRDefault="00273D51" w:rsidP="00273D51">
      <w:pPr>
        <w:jc w:val="both"/>
        <w:rPr>
          <w:rFonts w:ascii="Times New Roman" w:hAnsi="Times New Roman" w:cs="Times New Roman"/>
        </w:rPr>
      </w:pPr>
      <w:r>
        <w:rPr>
          <w:rFonts w:ascii="Times New Roman" w:hAnsi="Times New Roman" w:cs="Times New Roman"/>
        </w:rPr>
        <w:t>Après le</w:t>
      </w:r>
      <w:r w:rsidR="006A6298" w:rsidRPr="006A6298">
        <w:rPr>
          <w:rFonts w:ascii="Times New Roman" w:hAnsi="Times New Roman" w:cs="Times New Roman"/>
        </w:rPr>
        <w:t xml:space="preserve"> vote du compte </w:t>
      </w:r>
      <w:r w:rsidR="006A6298">
        <w:rPr>
          <w:rFonts w:ascii="Times New Roman" w:hAnsi="Times New Roman" w:cs="Times New Roman"/>
        </w:rPr>
        <w:t>financier unique</w:t>
      </w:r>
      <w:r w:rsidR="006A6298" w:rsidRPr="006A6298">
        <w:rPr>
          <w:rFonts w:ascii="Times New Roman" w:hAnsi="Times New Roman" w:cs="Times New Roman"/>
        </w:rPr>
        <w:t xml:space="preserve">, le conseil de communauté </w:t>
      </w:r>
      <w:r>
        <w:rPr>
          <w:rFonts w:ascii="Times New Roman" w:hAnsi="Times New Roman" w:cs="Times New Roman"/>
        </w:rPr>
        <w:t xml:space="preserve">est amené à </w:t>
      </w:r>
      <w:r w:rsidR="006A6298" w:rsidRPr="006A6298">
        <w:rPr>
          <w:rFonts w:ascii="Times New Roman" w:hAnsi="Times New Roman" w:cs="Times New Roman"/>
        </w:rPr>
        <w:t>vote</w:t>
      </w:r>
      <w:r>
        <w:rPr>
          <w:rFonts w:ascii="Times New Roman" w:hAnsi="Times New Roman" w:cs="Times New Roman"/>
        </w:rPr>
        <w:t>r</w:t>
      </w:r>
      <w:r w:rsidR="006A6298" w:rsidRPr="006A6298">
        <w:rPr>
          <w:rFonts w:ascii="Times New Roman" w:hAnsi="Times New Roman" w:cs="Times New Roman"/>
        </w:rPr>
        <w:t xml:space="preserve"> l’affectation des résultats 202</w:t>
      </w:r>
      <w:r>
        <w:rPr>
          <w:rFonts w:ascii="Times New Roman" w:hAnsi="Times New Roman" w:cs="Times New Roman"/>
        </w:rPr>
        <w:t>3</w:t>
      </w:r>
      <w:r w:rsidR="006A6298" w:rsidRPr="006A6298">
        <w:rPr>
          <w:rFonts w:ascii="Times New Roman" w:hAnsi="Times New Roman" w:cs="Times New Roman"/>
        </w:rPr>
        <w:t xml:space="preserve"> au budget 202</w:t>
      </w:r>
      <w:r>
        <w:rPr>
          <w:rFonts w:ascii="Times New Roman" w:hAnsi="Times New Roman" w:cs="Times New Roman"/>
        </w:rPr>
        <w:t>4</w:t>
      </w:r>
      <w:r w:rsidR="006A6298" w:rsidRPr="006A6298">
        <w:rPr>
          <w:rFonts w:ascii="Times New Roman" w:hAnsi="Times New Roman" w:cs="Times New Roman"/>
        </w:rPr>
        <w:t>.</w:t>
      </w:r>
      <w:r>
        <w:rPr>
          <w:rFonts w:ascii="Times New Roman" w:hAnsi="Times New Roman" w:cs="Times New Roman"/>
        </w:rPr>
        <w:t xml:space="preserve"> </w:t>
      </w:r>
      <w:r w:rsidR="006A6298" w:rsidRPr="006A6298">
        <w:rPr>
          <w:rFonts w:ascii="Times New Roman" w:hAnsi="Times New Roman" w:cs="Times New Roman"/>
        </w:rPr>
        <w:t>Pour mémoire, il s’agit de l’affectation des excédents de fonctionnement au déficit de l’investissement, restes à réaliser compris.</w:t>
      </w:r>
    </w:p>
    <w:p w:rsidR="006A6298" w:rsidRPr="006A6298" w:rsidRDefault="006A6298" w:rsidP="00273D51">
      <w:pPr>
        <w:jc w:val="both"/>
        <w:rPr>
          <w:rFonts w:ascii="Times New Roman" w:hAnsi="Times New Roman" w:cs="Times New Roman"/>
        </w:rPr>
      </w:pPr>
      <w:r w:rsidRPr="006A6298">
        <w:rPr>
          <w:rFonts w:ascii="Times New Roman" w:hAnsi="Times New Roman" w:cs="Times New Roman"/>
        </w:rPr>
        <w:t>L’affectation est impérative dès lors qu’un excédent de fonctionnement et un résultat d’investissement négatif sont constatés.</w:t>
      </w:r>
      <w:r w:rsidR="00273D51">
        <w:rPr>
          <w:rFonts w:ascii="Times New Roman" w:hAnsi="Times New Roman" w:cs="Times New Roman"/>
        </w:rPr>
        <w:t xml:space="preserve"> </w:t>
      </w:r>
      <w:r w:rsidRPr="006A6298">
        <w:rPr>
          <w:rFonts w:ascii="Times New Roman" w:hAnsi="Times New Roman" w:cs="Times New Roman"/>
        </w:rPr>
        <w:t>Il est, en outre, possible d’affecter un résultat de fonctionnement en réserves, en cas de résultat d’investissement excédentaire.</w:t>
      </w:r>
    </w:p>
    <w:p w:rsidR="006A6298" w:rsidRDefault="006A6298" w:rsidP="00273D51">
      <w:pPr>
        <w:jc w:val="both"/>
        <w:rPr>
          <w:rFonts w:ascii="Times New Roman" w:hAnsi="Times New Roman" w:cs="Times New Roman"/>
        </w:rPr>
      </w:pPr>
      <w:r w:rsidRPr="006A6298">
        <w:rPr>
          <w:rFonts w:ascii="Times New Roman" w:hAnsi="Times New Roman" w:cs="Times New Roman"/>
        </w:rPr>
        <w:t>Les montants présentés ci-dessous sont donc intégrés à la prévision du budget 202</w:t>
      </w:r>
      <w:r w:rsidR="00273D51">
        <w:rPr>
          <w:rFonts w:ascii="Times New Roman" w:hAnsi="Times New Roman" w:cs="Times New Roman"/>
        </w:rPr>
        <w:t>4</w:t>
      </w:r>
      <w:r w:rsidRPr="006A6298">
        <w:rPr>
          <w:rFonts w:ascii="Times New Roman" w:hAnsi="Times New Roman" w:cs="Times New Roman"/>
        </w:rPr>
        <w:t xml:space="preserve"> et entrent dans l’équilibre budgétaire de cet exercice.</w:t>
      </w:r>
    </w:p>
    <w:p w:rsidR="00721718" w:rsidRDefault="00721718" w:rsidP="00273D51">
      <w:pPr>
        <w:jc w:val="both"/>
        <w:rPr>
          <w:rFonts w:ascii="Times New Roman" w:hAnsi="Times New Roman" w:cs="Times New Roman"/>
        </w:rPr>
      </w:pPr>
    </w:p>
    <w:p w:rsidR="00273D51" w:rsidRDefault="00273D51" w:rsidP="006A6298">
      <w:pPr>
        <w:rPr>
          <w:rFonts w:ascii="Times New Roman" w:hAnsi="Times New Roman" w:cs="Times New Roman"/>
        </w:rPr>
      </w:pPr>
      <w:r w:rsidRPr="00AE721E">
        <w:rPr>
          <w:noProof/>
          <w:lang w:eastAsia="fr-FR"/>
        </w:rPr>
        <w:drawing>
          <wp:inline distT="0" distB="0" distL="0" distR="0" wp14:anchorId="67D15E0D" wp14:editId="6611FCD3">
            <wp:extent cx="5760720" cy="222440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224405"/>
                    </a:xfrm>
                    <a:prstGeom prst="rect">
                      <a:avLst/>
                    </a:prstGeom>
                    <a:noFill/>
                    <a:ln>
                      <a:noFill/>
                    </a:ln>
                  </pic:spPr>
                </pic:pic>
              </a:graphicData>
            </a:graphic>
          </wp:inline>
        </w:drawing>
      </w:r>
    </w:p>
    <w:p w:rsidR="005C5077" w:rsidRDefault="005C5077" w:rsidP="005C5077">
      <w:pPr>
        <w:rPr>
          <w:rFonts w:ascii="Times New Roman" w:hAnsi="Times New Roman" w:cs="Times New Roman"/>
        </w:rPr>
      </w:pPr>
    </w:p>
    <w:p w:rsidR="005C5077" w:rsidRPr="00714902" w:rsidRDefault="005C5077" w:rsidP="005C5077">
      <w:pPr>
        <w:rPr>
          <w:rFonts w:ascii="Times New Roman" w:hAnsi="Times New Roman" w:cs="Times New Roman"/>
          <w:b/>
        </w:rPr>
      </w:pPr>
      <w:r w:rsidRPr="00714902">
        <w:rPr>
          <w:rFonts w:ascii="Times New Roman" w:hAnsi="Times New Roman" w:cs="Times New Roman"/>
          <w:b/>
        </w:rPr>
        <w:t>AFFECTION DU RESULTAT BUDGET DECHETS</w:t>
      </w:r>
    </w:p>
    <w:p w:rsidR="005C5077" w:rsidRPr="005C5077" w:rsidRDefault="005C5077" w:rsidP="005C5077">
      <w:pPr>
        <w:rPr>
          <w:rFonts w:ascii="Times New Roman" w:hAnsi="Times New Roman" w:cs="Times New Roman"/>
        </w:rPr>
      </w:pPr>
      <w:r w:rsidRPr="005C5077">
        <w:rPr>
          <w:rFonts w:ascii="Times New Roman" w:hAnsi="Times New Roman" w:cs="Times New Roman"/>
        </w:rPr>
        <w:t xml:space="preserve">Proposition de report en fonctionnement de l’ensemble du résultat d’excédent d’exploitation en section d’exploitation pour un montant de 356 289.32 € (même procédure qu’en 2023). Pour mémoire, dans le rapport d’orientations budgétaires pour 2024, le résultat prévisionnel était évalué à 311 K€. </w:t>
      </w:r>
    </w:p>
    <w:p w:rsidR="00273D51" w:rsidRDefault="005C5077" w:rsidP="005C5077">
      <w:pPr>
        <w:rPr>
          <w:rFonts w:ascii="Times New Roman" w:hAnsi="Times New Roman" w:cs="Times New Roman"/>
        </w:rPr>
      </w:pPr>
      <w:r w:rsidRPr="005C5077">
        <w:rPr>
          <w:rFonts w:ascii="Times New Roman" w:hAnsi="Times New Roman" w:cs="Times New Roman"/>
        </w:rPr>
        <w:t>Ce report en totalité en fonctionnement s’explique par le besoin d’équilibre de cette section.</w:t>
      </w:r>
    </w:p>
    <w:p w:rsidR="004326AE" w:rsidRDefault="004326AE" w:rsidP="00981A6F">
      <w:pPr>
        <w:rPr>
          <w:rFonts w:ascii="Times New Roman" w:hAnsi="Times New Roman" w:cs="Times New Roman"/>
          <w:b/>
        </w:rPr>
      </w:pPr>
    </w:p>
    <w:p w:rsidR="006239FF" w:rsidRDefault="006239FF" w:rsidP="00981A6F">
      <w:pPr>
        <w:rPr>
          <w:rFonts w:ascii="Times New Roman" w:hAnsi="Times New Roman" w:cs="Times New Roman"/>
          <w:b/>
        </w:rPr>
      </w:pPr>
    </w:p>
    <w:p w:rsidR="0068691C" w:rsidRDefault="0068691C" w:rsidP="00981A6F">
      <w:pPr>
        <w:rPr>
          <w:rFonts w:ascii="Times New Roman" w:hAnsi="Times New Roman" w:cs="Times New Roman"/>
          <w:b/>
        </w:rPr>
      </w:pPr>
    </w:p>
    <w:p w:rsidR="0068691C" w:rsidRDefault="0068691C" w:rsidP="00981A6F">
      <w:pPr>
        <w:rPr>
          <w:rFonts w:ascii="Times New Roman" w:hAnsi="Times New Roman" w:cs="Times New Roman"/>
          <w:b/>
        </w:rPr>
      </w:pPr>
    </w:p>
    <w:p w:rsidR="0068691C" w:rsidRDefault="0068691C" w:rsidP="00981A6F">
      <w:pPr>
        <w:rPr>
          <w:rFonts w:ascii="Times New Roman" w:hAnsi="Times New Roman" w:cs="Times New Roman"/>
          <w:b/>
        </w:rPr>
      </w:pPr>
    </w:p>
    <w:p w:rsidR="0068691C" w:rsidRDefault="0068691C" w:rsidP="00981A6F">
      <w:pPr>
        <w:rPr>
          <w:rFonts w:ascii="Times New Roman" w:hAnsi="Times New Roman" w:cs="Times New Roman"/>
          <w:b/>
        </w:rPr>
      </w:pPr>
    </w:p>
    <w:p w:rsidR="0068691C" w:rsidRDefault="0068691C" w:rsidP="00981A6F">
      <w:pPr>
        <w:rPr>
          <w:rFonts w:ascii="Times New Roman" w:hAnsi="Times New Roman" w:cs="Times New Roman"/>
          <w:b/>
        </w:rPr>
      </w:pPr>
    </w:p>
    <w:p w:rsidR="006239FF" w:rsidRDefault="006239FF" w:rsidP="00981A6F">
      <w:pPr>
        <w:rPr>
          <w:rFonts w:ascii="Times New Roman" w:hAnsi="Times New Roman" w:cs="Times New Roman"/>
          <w:b/>
        </w:rPr>
      </w:pPr>
    </w:p>
    <w:p w:rsidR="00AB2A01" w:rsidRDefault="00AB2A01" w:rsidP="00AB2A01">
      <w:pPr>
        <w:pBdr>
          <w:top w:val="single" w:sz="4" w:space="1" w:color="auto"/>
          <w:left w:val="single" w:sz="4" w:space="4" w:color="auto"/>
          <w:bottom w:val="single" w:sz="4" w:space="1" w:color="auto"/>
          <w:right w:val="single" w:sz="4" w:space="4" w:color="auto"/>
        </w:pBdr>
        <w:shd w:val="clear" w:color="auto" w:fill="D5DCE4" w:themeFill="text2" w:themeFillTint="33"/>
        <w:jc w:val="center"/>
        <w:rPr>
          <w:rFonts w:ascii="Times New Roman" w:hAnsi="Times New Roman" w:cs="Times New Roman"/>
          <w:b/>
        </w:rPr>
      </w:pPr>
    </w:p>
    <w:p w:rsidR="00A32F10" w:rsidRPr="00AB2A01" w:rsidRDefault="00D2213C" w:rsidP="00AB2A01">
      <w:pPr>
        <w:pBdr>
          <w:top w:val="single" w:sz="4" w:space="1" w:color="auto"/>
          <w:left w:val="single" w:sz="4" w:space="4" w:color="auto"/>
          <w:bottom w:val="single" w:sz="4" w:space="1" w:color="auto"/>
          <w:right w:val="single" w:sz="4" w:space="4" w:color="auto"/>
        </w:pBdr>
        <w:shd w:val="clear" w:color="auto" w:fill="D5DCE4" w:themeFill="text2" w:themeFillTint="33"/>
        <w:jc w:val="center"/>
        <w:rPr>
          <w:rFonts w:ascii="Times New Roman" w:hAnsi="Times New Roman" w:cs="Times New Roman"/>
          <w:b/>
          <w:sz w:val="28"/>
        </w:rPr>
      </w:pPr>
      <w:r w:rsidRPr="00AB2A01">
        <w:rPr>
          <w:rFonts w:ascii="Times New Roman" w:hAnsi="Times New Roman" w:cs="Times New Roman"/>
          <w:b/>
          <w:sz w:val="28"/>
        </w:rPr>
        <w:t xml:space="preserve">NOTE DE PRESENTATION </w:t>
      </w:r>
      <w:r w:rsidR="00D94DC4" w:rsidRPr="00AB2A01">
        <w:rPr>
          <w:rFonts w:ascii="Times New Roman" w:hAnsi="Times New Roman" w:cs="Times New Roman"/>
          <w:b/>
          <w:sz w:val="28"/>
        </w:rPr>
        <w:t xml:space="preserve">SYNTHETIQUE </w:t>
      </w:r>
      <w:r w:rsidRPr="00AB2A01">
        <w:rPr>
          <w:rFonts w:ascii="Times New Roman" w:hAnsi="Times New Roman" w:cs="Times New Roman"/>
          <w:b/>
          <w:sz w:val="28"/>
        </w:rPr>
        <w:t>DU BUDGET 2024</w:t>
      </w:r>
    </w:p>
    <w:p w:rsidR="00AB2A01" w:rsidRPr="00050EC9" w:rsidRDefault="00AB2A01" w:rsidP="00AB2A01">
      <w:pPr>
        <w:pBdr>
          <w:top w:val="single" w:sz="4" w:space="1" w:color="auto"/>
          <w:left w:val="single" w:sz="4" w:space="4" w:color="auto"/>
          <w:bottom w:val="single" w:sz="4" w:space="1" w:color="auto"/>
          <w:right w:val="single" w:sz="4" w:space="4" w:color="auto"/>
        </w:pBdr>
        <w:shd w:val="clear" w:color="auto" w:fill="D5DCE4" w:themeFill="text2" w:themeFillTint="33"/>
        <w:jc w:val="center"/>
        <w:rPr>
          <w:rFonts w:ascii="Times New Roman" w:hAnsi="Times New Roman" w:cs="Times New Roman"/>
          <w:b/>
        </w:rPr>
      </w:pPr>
    </w:p>
    <w:p w:rsidR="00981A6F" w:rsidRDefault="00981A6F" w:rsidP="00981A6F">
      <w:pPr>
        <w:jc w:val="both"/>
        <w:rPr>
          <w:rFonts w:ascii="Times New Roman" w:hAnsi="Times New Roman" w:cs="Times New Roman"/>
        </w:rPr>
      </w:pPr>
    </w:p>
    <w:p w:rsidR="00981A6F" w:rsidRPr="00981A6F" w:rsidRDefault="00AB2A01" w:rsidP="00981A6F">
      <w:pPr>
        <w:pStyle w:val="Paragraphedeliste"/>
        <w:numPr>
          <w:ilvl w:val="0"/>
          <w:numId w:val="5"/>
        </w:numPr>
        <w:shd w:val="clear" w:color="auto" w:fill="D5DCE4" w:themeFill="text2" w:themeFillTint="33"/>
        <w:jc w:val="both"/>
        <w:rPr>
          <w:rFonts w:ascii="Times New Roman" w:hAnsi="Times New Roman" w:cs="Times New Roman"/>
          <w:b/>
        </w:rPr>
      </w:pPr>
      <w:r w:rsidRPr="00981A6F">
        <w:rPr>
          <w:rFonts w:ascii="Times New Roman" w:hAnsi="Times New Roman" w:cs="Times New Roman"/>
          <w:b/>
        </w:rPr>
        <w:t>LE CADRE REGLEMENTAIRE</w:t>
      </w:r>
    </w:p>
    <w:p w:rsidR="00981A6F" w:rsidRDefault="00981A6F" w:rsidP="00981A6F">
      <w:pPr>
        <w:jc w:val="both"/>
        <w:rPr>
          <w:rFonts w:ascii="Times New Roman" w:hAnsi="Times New Roman" w:cs="Times New Roman"/>
        </w:rPr>
      </w:pPr>
    </w:p>
    <w:p w:rsidR="00981A6F" w:rsidRPr="00981A6F" w:rsidRDefault="00981A6F" w:rsidP="00981A6F">
      <w:pPr>
        <w:jc w:val="both"/>
        <w:rPr>
          <w:rFonts w:ascii="Times New Roman" w:hAnsi="Times New Roman" w:cs="Times New Roman"/>
        </w:rPr>
      </w:pPr>
      <w:r w:rsidRPr="00981A6F">
        <w:rPr>
          <w:rFonts w:ascii="Times New Roman" w:hAnsi="Times New Roman" w:cs="Times New Roman"/>
        </w:rPr>
        <w:t>L'article L. 2313-1 du code général des collectivités territoriales prévoit qu'une présentation</w:t>
      </w:r>
      <w:r>
        <w:rPr>
          <w:rFonts w:ascii="Times New Roman" w:hAnsi="Times New Roman" w:cs="Times New Roman"/>
        </w:rPr>
        <w:t xml:space="preserve"> </w:t>
      </w:r>
      <w:r w:rsidRPr="00981A6F">
        <w:rPr>
          <w:rFonts w:ascii="Times New Roman" w:hAnsi="Times New Roman" w:cs="Times New Roman"/>
        </w:rPr>
        <w:t>brève et synthétique retraçant les informations financières essentielles est jointe au budget</w:t>
      </w:r>
      <w:r>
        <w:rPr>
          <w:rFonts w:ascii="Times New Roman" w:hAnsi="Times New Roman" w:cs="Times New Roman"/>
        </w:rPr>
        <w:t xml:space="preserve"> </w:t>
      </w:r>
      <w:r w:rsidRPr="00981A6F">
        <w:rPr>
          <w:rFonts w:ascii="Times New Roman" w:hAnsi="Times New Roman" w:cs="Times New Roman"/>
        </w:rPr>
        <w:t>primitif afin de permettre aux citoyens d'en saisir les enjeux.</w:t>
      </w:r>
    </w:p>
    <w:p w:rsidR="00D2213C" w:rsidRDefault="00981A6F" w:rsidP="00981A6F">
      <w:pPr>
        <w:jc w:val="both"/>
        <w:rPr>
          <w:rFonts w:ascii="Times New Roman" w:hAnsi="Times New Roman" w:cs="Times New Roman"/>
        </w:rPr>
      </w:pPr>
      <w:r w:rsidRPr="00981A6F">
        <w:rPr>
          <w:rFonts w:ascii="Times New Roman" w:hAnsi="Times New Roman" w:cs="Times New Roman"/>
        </w:rPr>
        <w:t>La présente note répond à cette obligation et est disponible sur le site internet de la</w:t>
      </w:r>
      <w:r>
        <w:rPr>
          <w:rFonts w:ascii="Times New Roman" w:hAnsi="Times New Roman" w:cs="Times New Roman"/>
        </w:rPr>
        <w:t xml:space="preserve"> Communauté</w:t>
      </w:r>
      <w:r w:rsidRPr="00981A6F">
        <w:rPr>
          <w:rFonts w:ascii="Times New Roman" w:hAnsi="Times New Roman" w:cs="Times New Roman"/>
        </w:rPr>
        <w:t>.</w:t>
      </w:r>
      <w:r>
        <w:rPr>
          <w:rFonts w:ascii="Times New Roman" w:hAnsi="Times New Roman" w:cs="Times New Roman"/>
        </w:rPr>
        <w:t xml:space="preserve"> </w:t>
      </w:r>
      <w:r w:rsidRPr="00981A6F">
        <w:rPr>
          <w:rFonts w:ascii="Times New Roman" w:hAnsi="Times New Roman" w:cs="Times New Roman"/>
        </w:rPr>
        <w:t>Le Budget primitif 2024 retrace l’ensemble des prévisions de dépenses et de recettes entre</w:t>
      </w:r>
      <w:r>
        <w:rPr>
          <w:rFonts w:ascii="Times New Roman" w:hAnsi="Times New Roman" w:cs="Times New Roman"/>
        </w:rPr>
        <w:t xml:space="preserve"> </w:t>
      </w:r>
      <w:r w:rsidRPr="00981A6F">
        <w:rPr>
          <w:rFonts w:ascii="Times New Roman" w:hAnsi="Times New Roman" w:cs="Times New Roman"/>
        </w:rPr>
        <w:t>le 1er janvier et le 31 décembre 2024, tant en fonctionnement qu’en investissement sur le</w:t>
      </w:r>
      <w:r>
        <w:rPr>
          <w:rFonts w:ascii="Times New Roman" w:hAnsi="Times New Roman" w:cs="Times New Roman"/>
        </w:rPr>
        <w:t xml:space="preserve"> </w:t>
      </w:r>
      <w:r w:rsidRPr="00981A6F">
        <w:rPr>
          <w:rFonts w:ascii="Times New Roman" w:hAnsi="Times New Roman" w:cs="Times New Roman"/>
        </w:rPr>
        <w:t>budget principal et les budgets annexes.</w:t>
      </w:r>
    </w:p>
    <w:p w:rsidR="003967D3" w:rsidRDefault="003967D3" w:rsidP="00981A6F">
      <w:pPr>
        <w:jc w:val="both"/>
        <w:rPr>
          <w:rFonts w:ascii="Times New Roman" w:hAnsi="Times New Roman" w:cs="Times New Roman"/>
        </w:rPr>
      </w:pPr>
    </w:p>
    <w:p w:rsidR="004326AE" w:rsidRPr="00981A6F" w:rsidRDefault="00AB2A01" w:rsidP="00981A6F">
      <w:pPr>
        <w:pStyle w:val="Paragraphedeliste"/>
        <w:numPr>
          <w:ilvl w:val="0"/>
          <w:numId w:val="5"/>
        </w:numPr>
        <w:shd w:val="clear" w:color="auto" w:fill="D5DCE4" w:themeFill="text2" w:themeFillTint="33"/>
        <w:rPr>
          <w:rFonts w:ascii="Times New Roman" w:hAnsi="Times New Roman" w:cs="Times New Roman"/>
          <w:b/>
        </w:rPr>
      </w:pPr>
      <w:bookmarkStart w:id="2" w:name="_Hlk160556796"/>
      <w:r w:rsidRPr="00981A6F">
        <w:rPr>
          <w:rFonts w:ascii="Times New Roman" w:hAnsi="Times New Roman" w:cs="Times New Roman"/>
          <w:b/>
        </w:rPr>
        <w:t>LE CONTEXTE 2024 DE LA COMMUNAUTE DE COMMUNES DU PAYS D’IROISE</w:t>
      </w:r>
    </w:p>
    <w:bookmarkEnd w:id="2"/>
    <w:p w:rsidR="004326AE" w:rsidRDefault="00981A6F" w:rsidP="00981A6F">
      <w:pPr>
        <w:jc w:val="both"/>
        <w:rPr>
          <w:rFonts w:ascii="Times New Roman" w:hAnsi="Times New Roman" w:cs="Times New Roman"/>
        </w:rPr>
      </w:pPr>
      <w:r w:rsidRPr="00981A6F">
        <w:rPr>
          <w:rFonts w:ascii="Times New Roman" w:hAnsi="Times New Roman" w:cs="Times New Roman"/>
        </w:rPr>
        <w:t>Le vote du budget est proposé, comme le prévoit la règlementation, après la tenue</w:t>
      </w:r>
      <w:r>
        <w:rPr>
          <w:rFonts w:ascii="Times New Roman" w:hAnsi="Times New Roman" w:cs="Times New Roman"/>
        </w:rPr>
        <w:t xml:space="preserve"> </w:t>
      </w:r>
      <w:r w:rsidRPr="00981A6F">
        <w:rPr>
          <w:rFonts w:ascii="Times New Roman" w:hAnsi="Times New Roman" w:cs="Times New Roman"/>
        </w:rPr>
        <w:t>d’un débat d’orientations budgétaires au conseil communautaire</w:t>
      </w:r>
      <w:r>
        <w:rPr>
          <w:rFonts w:ascii="Times New Roman" w:hAnsi="Times New Roman" w:cs="Times New Roman"/>
        </w:rPr>
        <w:t xml:space="preserve"> </w:t>
      </w:r>
      <w:r w:rsidR="00AB2A01">
        <w:rPr>
          <w:rFonts w:ascii="Times New Roman" w:hAnsi="Times New Roman" w:cs="Times New Roman"/>
        </w:rPr>
        <w:t xml:space="preserve">du </w:t>
      </w:r>
      <w:r w:rsidR="00B71346">
        <w:rPr>
          <w:rFonts w:ascii="Times New Roman" w:hAnsi="Times New Roman" w:cs="Times New Roman"/>
        </w:rPr>
        <w:t>21</w:t>
      </w:r>
      <w:r>
        <w:rPr>
          <w:rFonts w:ascii="Times New Roman" w:hAnsi="Times New Roman" w:cs="Times New Roman"/>
        </w:rPr>
        <w:t xml:space="preserve"> février 2024</w:t>
      </w:r>
      <w:r w:rsidRPr="00981A6F">
        <w:rPr>
          <w:rFonts w:ascii="Times New Roman" w:hAnsi="Times New Roman" w:cs="Times New Roman"/>
        </w:rPr>
        <w:t>, selon</w:t>
      </w:r>
      <w:r>
        <w:rPr>
          <w:rFonts w:ascii="Times New Roman" w:hAnsi="Times New Roman" w:cs="Times New Roman"/>
        </w:rPr>
        <w:t xml:space="preserve"> </w:t>
      </w:r>
      <w:r w:rsidRPr="00981A6F">
        <w:rPr>
          <w:rFonts w:ascii="Times New Roman" w:hAnsi="Times New Roman" w:cs="Times New Roman"/>
        </w:rPr>
        <w:t>la nomenclature M57</w:t>
      </w:r>
      <w:r>
        <w:rPr>
          <w:rFonts w:ascii="Times New Roman" w:hAnsi="Times New Roman" w:cs="Times New Roman"/>
        </w:rPr>
        <w:t xml:space="preserve"> s’agissant du budget principal</w:t>
      </w:r>
      <w:r w:rsidR="008D1AC5">
        <w:rPr>
          <w:rFonts w:ascii="Times New Roman" w:hAnsi="Times New Roman" w:cs="Times New Roman"/>
        </w:rPr>
        <w:t>, du budget de zones d’activités économiques, de l’immobilier d’entreprises et du CLIC</w:t>
      </w:r>
      <w:r>
        <w:rPr>
          <w:rFonts w:ascii="Times New Roman" w:hAnsi="Times New Roman" w:cs="Times New Roman"/>
        </w:rPr>
        <w:t xml:space="preserve"> et la nomenclature M</w:t>
      </w:r>
      <w:r w:rsidR="008D1AC5">
        <w:rPr>
          <w:rFonts w:ascii="Times New Roman" w:hAnsi="Times New Roman" w:cs="Times New Roman"/>
        </w:rPr>
        <w:t>4</w:t>
      </w:r>
      <w:r>
        <w:rPr>
          <w:rFonts w:ascii="Times New Roman" w:hAnsi="Times New Roman" w:cs="Times New Roman"/>
        </w:rPr>
        <w:t xml:space="preserve"> pour les budgets annexes </w:t>
      </w:r>
      <w:r w:rsidR="008D1AC5">
        <w:rPr>
          <w:rFonts w:ascii="Times New Roman" w:hAnsi="Times New Roman" w:cs="Times New Roman"/>
        </w:rPr>
        <w:t>NPI, Déchets, école de musique, port. Pour information, les budgets eau potable, assainissement individuel et collectif relève</w:t>
      </w:r>
      <w:r w:rsidR="00801532">
        <w:rPr>
          <w:rFonts w:ascii="Times New Roman" w:hAnsi="Times New Roman" w:cs="Times New Roman"/>
        </w:rPr>
        <w:t>nt</w:t>
      </w:r>
      <w:r w:rsidR="008D1AC5">
        <w:rPr>
          <w:rFonts w:ascii="Times New Roman" w:hAnsi="Times New Roman" w:cs="Times New Roman"/>
        </w:rPr>
        <w:t xml:space="preserve"> de la nomenclature M49.</w:t>
      </w:r>
    </w:p>
    <w:p w:rsidR="004326AE" w:rsidRDefault="00981A6F" w:rsidP="00981A6F">
      <w:pPr>
        <w:jc w:val="both"/>
        <w:rPr>
          <w:rFonts w:ascii="Times New Roman" w:hAnsi="Times New Roman" w:cs="Times New Roman"/>
        </w:rPr>
      </w:pPr>
      <w:r w:rsidRPr="00981A6F">
        <w:rPr>
          <w:rFonts w:ascii="Times New Roman" w:hAnsi="Times New Roman" w:cs="Times New Roman"/>
        </w:rPr>
        <w:t xml:space="preserve">Il est à noter que les budgets primitifs principal et </w:t>
      </w:r>
      <w:r w:rsidR="00AB2A01" w:rsidRPr="00981A6F">
        <w:rPr>
          <w:rFonts w:ascii="Times New Roman" w:hAnsi="Times New Roman" w:cs="Times New Roman"/>
        </w:rPr>
        <w:t xml:space="preserve">annexes </w:t>
      </w:r>
      <w:r w:rsidR="00AB2A01">
        <w:rPr>
          <w:rFonts w:ascii="Times New Roman" w:hAnsi="Times New Roman" w:cs="Times New Roman"/>
        </w:rPr>
        <w:t>susvisées</w:t>
      </w:r>
      <w:r>
        <w:rPr>
          <w:rFonts w:ascii="Times New Roman" w:hAnsi="Times New Roman" w:cs="Times New Roman"/>
        </w:rPr>
        <w:t xml:space="preserve"> </w:t>
      </w:r>
      <w:r w:rsidRPr="00981A6F">
        <w:rPr>
          <w:rFonts w:ascii="Times New Roman" w:hAnsi="Times New Roman" w:cs="Times New Roman"/>
        </w:rPr>
        <w:t xml:space="preserve">sont présentés </w:t>
      </w:r>
      <w:r>
        <w:rPr>
          <w:rFonts w:ascii="Times New Roman" w:hAnsi="Times New Roman" w:cs="Times New Roman"/>
        </w:rPr>
        <w:t>après</w:t>
      </w:r>
      <w:r w:rsidRPr="00981A6F">
        <w:rPr>
          <w:rFonts w:ascii="Times New Roman" w:hAnsi="Times New Roman" w:cs="Times New Roman"/>
        </w:rPr>
        <w:t xml:space="preserve"> le vote</w:t>
      </w:r>
      <w:r>
        <w:rPr>
          <w:rFonts w:ascii="Times New Roman" w:hAnsi="Times New Roman" w:cs="Times New Roman"/>
        </w:rPr>
        <w:t xml:space="preserve"> </w:t>
      </w:r>
      <w:r w:rsidRPr="00981A6F">
        <w:rPr>
          <w:rFonts w:ascii="Times New Roman" w:hAnsi="Times New Roman" w:cs="Times New Roman"/>
        </w:rPr>
        <w:t xml:space="preserve">des comptes administratifs 2023, </w:t>
      </w:r>
      <w:r>
        <w:rPr>
          <w:rFonts w:ascii="Times New Roman" w:hAnsi="Times New Roman" w:cs="Times New Roman"/>
        </w:rPr>
        <w:t>avec</w:t>
      </w:r>
      <w:r w:rsidRPr="00981A6F">
        <w:rPr>
          <w:rFonts w:ascii="Times New Roman" w:hAnsi="Times New Roman" w:cs="Times New Roman"/>
        </w:rPr>
        <w:t xml:space="preserve"> reprise des résultats antérieurs</w:t>
      </w:r>
      <w:r>
        <w:rPr>
          <w:rFonts w:ascii="Times New Roman" w:hAnsi="Times New Roman" w:cs="Times New Roman"/>
        </w:rPr>
        <w:t>.</w:t>
      </w:r>
    </w:p>
    <w:p w:rsidR="00AB2A01" w:rsidRDefault="00AB2A01" w:rsidP="00981A6F">
      <w:pPr>
        <w:jc w:val="both"/>
        <w:rPr>
          <w:rFonts w:ascii="Times New Roman" w:hAnsi="Times New Roman" w:cs="Times New Roman"/>
        </w:rPr>
      </w:pPr>
      <w:r>
        <w:rPr>
          <w:rFonts w:ascii="Times New Roman" w:hAnsi="Times New Roman" w:cs="Times New Roman"/>
        </w:rPr>
        <w:t>Les budgets annexes de l’eau, de l’assainissement collectif et non collectif ont été votés (sans reprise des résultats antérieurs) lors de la séance précédente du conseil communautaire.</w:t>
      </w:r>
    </w:p>
    <w:p w:rsidR="00981A6F" w:rsidRDefault="00981A6F" w:rsidP="00981A6F">
      <w:pPr>
        <w:jc w:val="both"/>
        <w:rPr>
          <w:rFonts w:ascii="Times New Roman" w:hAnsi="Times New Roman" w:cs="Times New Roman"/>
        </w:rPr>
      </w:pPr>
    </w:p>
    <w:p w:rsidR="00981A6F" w:rsidRPr="00981A6F" w:rsidRDefault="00AB2A01" w:rsidP="00981A6F">
      <w:pPr>
        <w:pStyle w:val="Paragraphedeliste"/>
        <w:numPr>
          <w:ilvl w:val="0"/>
          <w:numId w:val="5"/>
        </w:numPr>
        <w:shd w:val="clear" w:color="auto" w:fill="D5DCE4" w:themeFill="text2" w:themeFillTint="33"/>
        <w:jc w:val="both"/>
        <w:rPr>
          <w:rFonts w:ascii="Times New Roman" w:hAnsi="Times New Roman" w:cs="Times New Roman"/>
          <w:b/>
        </w:rPr>
      </w:pPr>
      <w:r w:rsidRPr="00981A6F">
        <w:rPr>
          <w:rFonts w:ascii="Times New Roman" w:hAnsi="Times New Roman" w:cs="Times New Roman"/>
          <w:b/>
        </w:rPr>
        <w:t>VUE SYNTHETIQUE DES BUDGETS 2024</w:t>
      </w:r>
    </w:p>
    <w:p w:rsidR="00D2213C" w:rsidRDefault="003967D3" w:rsidP="003967D3">
      <w:pPr>
        <w:jc w:val="both"/>
      </w:pPr>
      <w:r>
        <w:t xml:space="preserve">Le budget primitif retrace l’ensemble des dépenses et des recettes autorisées et prévues pour l’année 2024. Il respecte les principes budgétaires : annualité, universalité, unité, équilibre et antériorité. Le budget primitif constitue le premier acte obligatoire du cycle budgétaire annuel de la </w:t>
      </w:r>
      <w:r w:rsidR="00801532">
        <w:t>communauté</w:t>
      </w:r>
      <w:r>
        <w:t>. Il doit être voté par l’assemblée délibérante avant le 15 avril de l’année à laquelle il se rapporte, et transmis au représentant de l’État dans les 15 jours qui suivent son approbation.</w:t>
      </w:r>
    </w:p>
    <w:p w:rsidR="00273D51" w:rsidRDefault="00273D51" w:rsidP="00D2213C">
      <w:pPr>
        <w:jc w:val="both"/>
      </w:pPr>
    </w:p>
    <w:p w:rsidR="00AB2A01" w:rsidRPr="00AB2A01" w:rsidRDefault="00AB2A01" w:rsidP="00AB2A01">
      <w:pPr>
        <w:pStyle w:val="Paragraphedeliste"/>
        <w:numPr>
          <w:ilvl w:val="0"/>
          <w:numId w:val="5"/>
        </w:numPr>
        <w:shd w:val="clear" w:color="auto" w:fill="D5DCE4" w:themeFill="text2" w:themeFillTint="33"/>
        <w:jc w:val="both"/>
        <w:rPr>
          <w:b/>
        </w:rPr>
      </w:pPr>
      <w:r w:rsidRPr="00AB2A01">
        <w:rPr>
          <w:b/>
        </w:rPr>
        <w:t>VUE GLOBALE DU BUDGET PRINCIPAL</w:t>
      </w:r>
    </w:p>
    <w:p w:rsidR="00AB2A01" w:rsidRDefault="00BD0FE3" w:rsidP="00AB2A01">
      <w:pPr>
        <w:jc w:val="both"/>
      </w:pPr>
      <w:r>
        <w:t xml:space="preserve">Le projet de budget 2024 s’inscrit dans un </w:t>
      </w:r>
      <w:r w:rsidRPr="00BD0FE3">
        <w:t>environnement économique toujours complexe, marqué par la hausse des taux d’intérêt et des incertitudes géopolitiques majeures</w:t>
      </w:r>
      <w:r>
        <w:t>. Ces incertitudes portent également par conséquence sur l’évolution du rythme de croissance du PIB et de l’inflation. Le niveau de déficit public amène l’Etat à réaliser des recherches d’économies qui pourraient à terme avoir des incidences sur le niveau des ressources locales. Il en va de même sur les encaissements de TVA servant à compenser des impôts locaux supprimés par l’Etat.</w:t>
      </w:r>
    </w:p>
    <w:p w:rsidR="00BD0FE3" w:rsidRDefault="00957FF8" w:rsidP="00AB2A01">
      <w:pPr>
        <w:jc w:val="both"/>
      </w:pPr>
      <w:r>
        <w:rPr>
          <w:noProof/>
          <w:lang w:eastAsia="fr-FR"/>
        </w:rPr>
        <w:drawing>
          <wp:inline distT="0" distB="0" distL="0" distR="0" wp14:anchorId="110F2762" wp14:editId="2A3282A1">
            <wp:extent cx="5076825" cy="4267200"/>
            <wp:effectExtent l="0" t="0" r="9525" b="0"/>
            <wp:docPr id="22" name="Graphique 22">
              <a:extLst xmlns:a="http://schemas.openxmlformats.org/drawingml/2006/main">
                <a:ext uri="{FF2B5EF4-FFF2-40B4-BE49-F238E27FC236}">
                  <a16:creationId xmlns:a16="http://schemas.microsoft.com/office/drawing/2014/main" id="{ADDF4C11-45D3-40C7-A657-6FB915DFE5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67D3" w:rsidRDefault="003967D3" w:rsidP="00AB2A01">
      <w:pPr>
        <w:jc w:val="both"/>
      </w:pPr>
    </w:p>
    <w:p w:rsidR="00957FF8" w:rsidRDefault="00957FF8" w:rsidP="00AB2A01">
      <w:pPr>
        <w:jc w:val="both"/>
      </w:pPr>
      <w:r>
        <w:rPr>
          <w:noProof/>
          <w:lang w:eastAsia="fr-FR"/>
        </w:rPr>
        <w:drawing>
          <wp:inline distT="0" distB="0" distL="0" distR="0" wp14:anchorId="6459C639" wp14:editId="7D6E4C8F">
            <wp:extent cx="5376863" cy="3905250"/>
            <wp:effectExtent l="0" t="0" r="14605" b="0"/>
            <wp:docPr id="23" name="Graphique 23">
              <a:extLst xmlns:a="http://schemas.openxmlformats.org/drawingml/2006/main">
                <a:ext uri="{FF2B5EF4-FFF2-40B4-BE49-F238E27FC236}">
                  <a16:creationId xmlns:a16="http://schemas.microsoft.com/office/drawing/2014/main" id="{33516209-C28B-43AD-B19B-7F1999B00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57FF8" w:rsidRDefault="00957FF8" w:rsidP="00AB2A01">
      <w:pPr>
        <w:jc w:val="both"/>
      </w:pPr>
    </w:p>
    <w:p w:rsidR="003967D3" w:rsidRPr="00F34194" w:rsidRDefault="00F26D78" w:rsidP="00F26D78">
      <w:pPr>
        <w:shd w:val="clear" w:color="auto" w:fill="D5DCE4" w:themeFill="text2" w:themeFillTint="33"/>
        <w:jc w:val="both"/>
        <w:rPr>
          <w:b/>
          <w:sz w:val="28"/>
        </w:rPr>
      </w:pPr>
      <w:r w:rsidRPr="00F34194">
        <w:rPr>
          <w:b/>
          <w:sz w:val="28"/>
        </w:rPr>
        <w:t>STRUCTURE DES DEPENSES ET RECETTES DE FONCTIONNEMENT ET D’INVESTISSEMENT</w:t>
      </w:r>
    </w:p>
    <w:p w:rsidR="003967D3" w:rsidRDefault="003967D3" w:rsidP="00AB2A01">
      <w:pPr>
        <w:jc w:val="both"/>
      </w:pPr>
    </w:p>
    <w:p w:rsidR="0068691C" w:rsidRPr="0068691C" w:rsidRDefault="0068691C" w:rsidP="0068691C">
      <w:pPr>
        <w:shd w:val="clear" w:color="auto" w:fill="D5DCE4" w:themeFill="text2" w:themeFillTint="33"/>
        <w:jc w:val="both"/>
        <w:rPr>
          <w:b/>
        </w:rPr>
      </w:pPr>
      <w:r w:rsidRPr="0068691C">
        <w:rPr>
          <w:b/>
        </w:rPr>
        <w:t>CHARGES A CARACTERE GENERAL</w:t>
      </w:r>
    </w:p>
    <w:p w:rsidR="0068691C" w:rsidRDefault="00801532" w:rsidP="00AB2A01">
      <w:pPr>
        <w:jc w:val="both"/>
      </w:pPr>
      <w:r>
        <w:t xml:space="preserve">Ce chapitre des « charges à caractère général » s’élève à </w:t>
      </w:r>
      <w:r w:rsidRPr="00512A5D">
        <w:rPr>
          <w:b/>
        </w:rPr>
        <w:t>2 651 900 €.</w:t>
      </w:r>
      <w:r>
        <w:t xml:space="preserve"> Celui-ci est en progression de 7.93% par rapport au BP 2023. </w:t>
      </w:r>
    </w:p>
    <w:p w:rsidR="00801532" w:rsidRDefault="00801532" w:rsidP="00AB2A01">
      <w:pPr>
        <w:jc w:val="both"/>
      </w:pPr>
      <w:r>
        <w:t>Quelques éléments fort d’évolution :</w:t>
      </w:r>
    </w:p>
    <w:p w:rsidR="00801532" w:rsidRDefault="00801532" w:rsidP="00801532">
      <w:pPr>
        <w:pStyle w:val="Paragraphedeliste"/>
        <w:numPr>
          <w:ilvl w:val="0"/>
          <w:numId w:val="1"/>
        </w:numPr>
        <w:jc w:val="both"/>
      </w:pPr>
      <w:r>
        <w:t>Participation à Octobre Rose : 30 K€</w:t>
      </w:r>
    </w:p>
    <w:p w:rsidR="00801532" w:rsidRDefault="00801532" w:rsidP="00801532">
      <w:pPr>
        <w:pStyle w:val="Paragraphedeliste"/>
        <w:numPr>
          <w:ilvl w:val="0"/>
          <w:numId w:val="1"/>
        </w:numPr>
        <w:jc w:val="both"/>
      </w:pPr>
      <w:r>
        <w:t>Tour de Bretagne à vélo</w:t>
      </w:r>
      <w:r w:rsidR="004319F1">
        <w:t> : 10 K€</w:t>
      </w:r>
    </w:p>
    <w:p w:rsidR="00801532" w:rsidRDefault="00801532" w:rsidP="00801532">
      <w:pPr>
        <w:pStyle w:val="Paragraphedeliste"/>
        <w:numPr>
          <w:ilvl w:val="0"/>
          <w:numId w:val="1"/>
        </w:numPr>
        <w:jc w:val="both"/>
      </w:pPr>
      <w:r>
        <w:t xml:space="preserve">Broyage d’arbres suite à la tempête </w:t>
      </w:r>
      <w:proofErr w:type="spellStart"/>
      <w:r>
        <w:t>Ciaran</w:t>
      </w:r>
      <w:proofErr w:type="spellEnd"/>
      <w:r>
        <w:t> : 40 K€</w:t>
      </w:r>
    </w:p>
    <w:p w:rsidR="00801532" w:rsidRDefault="00801532" w:rsidP="003D4E5E">
      <w:pPr>
        <w:pStyle w:val="Paragraphedeliste"/>
        <w:numPr>
          <w:ilvl w:val="0"/>
          <w:numId w:val="1"/>
        </w:numPr>
        <w:jc w:val="both"/>
      </w:pPr>
      <w:r>
        <w:t>Soutien au chantier d’insertion Rail : 30 K€.</w:t>
      </w:r>
    </w:p>
    <w:p w:rsidR="0068691C" w:rsidRDefault="00AE700E" w:rsidP="003D4E5E">
      <w:pPr>
        <w:pStyle w:val="Paragraphedeliste"/>
        <w:numPr>
          <w:ilvl w:val="0"/>
          <w:numId w:val="1"/>
        </w:numPr>
        <w:jc w:val="both"/>
      </w:pPr>
      <w:r>
        <w:t>Baisse des charges d’électricité à hauteur de 24K€</w:t>
      </w:r>
      <w:r w:rsidR="00801532">
        <w:t xml:space="preserve"> </w:t>
      </w:r>
      <w:r w:rsidR="004319F1">
        <w:t>(provision</w:t>
      </w:r>
      <w:r>
        <w:t xml:space="preserve"> de 7 K€</w:t>
      </w:r>
      <w:r w:rsidR="00801532">
        <w:t>)</w:t>
      </w:r>
    </w:p>
    <w:p w:rsidR="0068691C" w:rsidRDefault="00801532" w:rsidP="00801532">
      <w:pPr>
        <w:pStyle w:val="Paragraphedeliste"/>
        <w:numPr>
          <w:ilvl w:val="0"/>
          <w:numId w:val="1"/>
        </w:numPr>
        <w:jc w:val="both"/>
      </w:pPr>
      <w:r>
        <w:t>Nouveau marché conception magazine Iroise</w:t>
      </w:r>
      <w:r w:rsidR="004319F1">
        <w:t> : 15 K€</w:t>
      </w:r>
    </w:p>
    <w:p w:rsidR="004319F1" w:rsidRDefault="004319F1" w:rsidP="00801532">
      <w:pPr>
        <w:pStyle w:val="Paragraphedeliste"/>
        <w:numPr>
          <w:ilvl w:val="0"/>
          <w:numId w:val="1"/>
        </w:numPr>
        <w:jc w:val="both"/>
      </w:pPr>
      <w:r>
        <w:t xml:space="preserve">Location Hangar à Toul an </w:t>
      </w:r>
      <w:proofErr w:type="spellStart"/>
      <w:r>
        <w:t>Ibil</w:t>
      </w:r>
      <w:proofErr w:type="spellEnd"/>
      <w:r>
        <w:t> : 15 K€</w:t>
      </w:r>
    </w:p>
    <w:p w:rsidR="0068691C" w:rsidRDefault="0068691C" w:rsidP="00AB2A01">
      <w:pPr>
        <w:jc w:val="both"/>
      </w:pPr>
    </w:p>
    <w:p w:rsidR="00F26D78" w:rsidRDefault="00F26D78" w:rsidP="00AB2A01">
      <w:pPr>
        <w:jc w:val="both"/>
      </w:pPr>
    </w:p>
    <w:p w:rsidR="00714902" w:rsidRPr="00714902" w:rsidRDefault="00714902" w:rsidP="00714902">
      <w:pPr>
        <w:shd w:val="clear" w:color="auto" w:fill="D5DCE4" w:themeFill="text2" w:themeFillTint="33"/>
        <w:jc w:val="both"/>
        <w:rPr>
          <w:b/>
        </w:rPr>
      </w:pPr>
      <w:r w:rsidRPr="00714902">
        <w:rPr>
          <w:b/>
        </w:rPr>
        <w:t>CHARGES DE PERSONNEL</w:t>
      </w:r>
    </w:p>
    <w:p w:rsidR="00B635F9" w:rsidRDefault="00B635F9" w:rsidP="00B635F9">
      <w:pPr>
        <w:jc w:val="both"/>
      </w:pPr>
      <w:r>
        <w:t>Les prévisions de charges de personnel intègrent les éléments ci-après présentés dans le rapport d’orientations budgétaires :</w:t>
      </w:r>
    </w:p>
    <w:p w:rsidR="0068691C" w:rsidRDefault="0068691C" w:rsidP="00B635F9">
      <w:pPr>
        <w:jc w:val="both"/>
      </w:pPr>
    </w:p>
    <w:p w:rsidR="00B635F9" w:rsidRPr="00B635F9" w:rsidRDefault="00B635F9" w:rsidP="00B635F9">
      <w:pPr>
        <w:jc w:val="both"/>
        <w:rPr>
          <w:b/>
        </w:rPr>
      </w:pPr>
      <w:r w:rsidRPr="00B635F9">
        <w:rPr>
          <w:b/>
        </w:rPr>
        <w:t>a)</w:t>
      </w:r>
      <w:r w:rsidRPr="00B635F9">
        <w:rPr>
          <w:b/>
        </w:rPr>
        <w:tab/>
        <w:t>Des impacts liés à des mouvements de personnels</w:t>
      </w:r>
    </w:p>
    <w:p w:rsidR="00B635F9" w:rsidRDefault="00B635F9" w:rsidP="00B635F9">
      <w:pPr>
        <w:jc w:val="both"/>
      </w:pPr>
      <w:r>
        <w:t>En 2023, plusieurs recrutements prévus n’ont pas été réalisés, ceux-ci sont donc décalés sur 2024 : chargé de mission PLUI-H, chargé d’études foncier habitat.</w:t>
      </w:r>
    </w:p>
    <w:p w:rsidR="00B635F9" w:rsidRDefault="00B635F9" w:rsidP="00B635F9">
      <w:pPr>
        <w:jc w:val="both"/>
      </w:pPr>
      <w:r>
        <w:t>Par ailleurs, des remplacements de mutations intervenues dans le courant de l’an passé n’ont pas été opérés immédiatement en raison des procédures de recrutement. A noter qu’un poste n’est pas remplacé suite à un départ à la retraite, dans le cadre d’une réorganisation de service.</w:t>
      </w:r>
    </w:p>
    <w:p w:rsidR="00B635F9" w:rsidRDefault="00B635F9" w:rsidP="00B635F9">
      <w:pPr>
        <w:jc w:val="both"/>
      </w:pPr>
      <w:r>
        <w:t>Enfin, il est à noter que des postes nouveaux créés en 2023 ne sont venus rejoindre les effectifs qu’en 2023, l’impact salarial de ces recrutements s’effectuera en année pleine en 2024 : chargé de mission biodéchets, chargé de projet atlas de la biodiversité.</w:t>
      </w:r>
    </w:p>
    <w:p w:rsidR="00B635F9" w:rsidRDefault="00B635F9" w:rsidP="00B635F9">
      <w:pPr>
        <w:jc w:val="both"/>
      </w:pPr>
      <w:r>
        <w:t>Ces mesures sont chiffrées à environ 225 K€.</w:t>
      </w:r>
    </w:p>
    <w:p w:rsidR="0068691C" w:rsidRDefault="0068691C" w:rsidP="00B635F9">
      <w:pPr>
        <w:jc w:val="both"/>
      </w:pPr>
    </w:p>
    <w:p w:rsidR="00B635F9" w:rsidRPr="00B635F9" w:rsidRDefault="00B635F9" w:rsidP="00B635F9">
      <w:pPr>
        <w:jc w:val="both"/>
        <w:rPr>
          <w:b/>
        </w:rPr>
      </w:pPr>
      <w:r w:rsidRPr="00B635F9">
        <w:rPr>
          <w:b/>
        </w:rPr>
        <w:t>b)</w:t>
      </w:r>
      <w:r>
        <w:rPr>
          <w:b/>
        </w:rPr>
        <w:t xml:space="preserve"> </w:t>
      </w:r>
      <w:r w:rsidRPr="00B635F9">
        <w:rPr>
          <w:b/>
        </w:rPr>
        <w:t>Des impacts liés à des revalorisations salariales et au Glissement Vieillisse Technicité (GVT)</w:t>
      </w:r>
    </w:p>
    <w:p w:rsidR="00B635F9" w:rsidRDefault="00B635F9" w:rsidP="00B635F9">
      <w:pPr>
        <w:jc w:val="both"/>
      </w:pPr>
      <w:r>
        <w:t xml:space="preserve">Plusieurs évolutions sont prévues sur 2024. Des revalorisations de la rémunération des agents publics (idem pour les conventions collectives des agents de droit privé) sont prévues avec notamment l’attribution de 5 points d’indice à tous les agents publics à compter du 1er janvier 2024 et une revalorisation de 4.8% du régime indemnitaire des agents publics.  Par ailleurs, la revalorisation du SMIC et du plafond de la sécurité sociale comme l’augmentation de la cotisation à la CNRACL auront aussi des impacts à la hausse sur la masse salariale. </w:t>
      </w:r>
    </w:p>
    <w:p w:rsidR="00714902" w:rsidRDefault="00B635F9" w:rsidP="00B635F9">
      <w:pPr>
        <w:jc w:val="both"/>
      </w:pPr>
      <w:r>
        <w:t>L’ensemble de ces mesures sont évaluées à environ 175 K€.</w:t>
      </w:r>
    </w:p>
    <w:p w:rsidR="0068691C" w:rsidRDefault="0068691C" w:rsidP="00B635F9">
      <w:pPr>
        <w:jc w:val="both"/>
      </w:pPr>
    </w:p>
    <w:p w:rsidR="00714902" w:rsidRPr="00B635F9" w:rsidRDefault="00250DC8" w:rsidP="00B635F9">
      <w:pPr>
        <w:pStyle w:val="Paragraphedeliste"/>
        <w:numPr>
          <w:ilvl w:val="0"/>
          <w:numId w:val="4"/>
        </w:numPr>
        <w:jc w:val="both"/>
        <w:rPr>
          <w:b/>
        </w:rPr>
      </w:pPr>
      <w:r>
        <w:rPr>
          <w:b/>
        </w:rPr>
        <w:t>10</w:t>
      </w:r>
      <w:r w:rsidR="00323999">
        <w:rPr>
          <w:b/>
        </w:rPr>
        <w:t xml:space="preserve">% </w:t>
      </w:r>
      <w:r w:rsidR="00323999" w:rsidRPr="00B635F9">
        <w:rPr>
          <w:b/>
        </w:rPr>
        <w:t>liées</w:t>
      </w:r>
      <w:r w:rsidR="00B635F9" w:rsidRPr="00B635F9">
        <w:rPr>
          <w:b/>
        </w:rPr>
        <w:t xml:space="preserve"> à des situations de personnel en détachement</w:t>
      </w:r>
    </w:p>
    <w:p w:rsidR="003967D3" w:rsidRDefault="00B635F9" w:rsidP="00AB2A01">
      <w:pPr>
        <w:jc w:val="both"/>
      </w:pPr>
      <w:r w:rsidRPr="00B635F9">
        <w:t xml:space="preserve">Il y a lieu de prendre en compte une régularisation de cotisation CNRACL liée à des positionnements en détachement de deux agents affectés précédemment sur ce budget </w:t>
      </w:r>
      <w:r>
        <w:t>principal avant d’être refacturés aux budgets de l’eau et de l’assainissement</w:t>
      </w:r>
      <w:r w:rsidRPr="00B635F9">
        <w:t xml:space="preserve">. </w:t>
      </w:r>
      <w:r>
        <w:t>Le montant de celle-ci est de 120 000 €. A noter que la communauté a perçu les cotisations correspondantes de leurs nouveaux employeurs.</w:t>
      </w:r>
    </w:p>
    <w:p w:rsidR="0068691C" w:rsidRDefault="0068691C" w:rsidP="00AB2A01">
      <w:pPr>
        <w:jc w:val="both"/>
      </w:pPr>
    </w:p>
    <w:p w:rsidR="00B635F9" w:rsidRPr="00270581" w:rsidRDefault="007604E6" w:rsidP="00AB2A01">
      <w:pPr>
        <w:jc w:val="both"/>
        <w:rPr>
          <w:b/>
          <w:i/>
        </w:rPr>
      </w:pPr>
      <w:r w:rsidRPr="00270581">
        <w:rPr>
          <w:b/>
          <w:i/>
        </w:rPr>
        <w:t>Synthèse</w:t>
      </w:r>
      <w:r w:rsidR="00270581" w:rsidRPr="00270581">
        <w:rPr>
          <w:b/>
          <w:i/>
        </w:rPr>
        <w:t xml:space="preserve"> charges de personnel avec refacturations et nouvelles subventions</w:t>
      </w:r>
    </w:p>
    <w:tbl>
      <w:tblPr>
        <w:tblW w:w="8015" w:type="dxa"/>
        <w:tblCellMar>
          <w:left w:w="70" w:type="dxa"/>
          <w:right w:w="70" w:type="dxa"/>
        </w:tblCellMar>
        <w:tblLook w:val="04A0" w:firstRow="1" w:lastRow="0" w:firstColumn="1" w:lastColumn="0" w:noHBand="0" w:noVBand="1"/>
      </w:tblPr>
      <w:tblGrid>
        <w:gridCol w:w="3992"/>
        <w:gridCol w:w="2223"/>
        <w:gridCol w:w="1800"/>
      </w:tblGrid>
      <w:tr w:rsidR="007604E6" w:rsidRPr="007604E6" w:rsidTr="00270581">
        <w:trPr>
          <w:trHeight w:val="255"/>
        </w:trPr>
        <w:tc>
          <w:tcPr>
            <w:tcW w:w="6215" w:type="dxa"/>
            <w:gridSpan w:val="2"/>
            <w:tcBorders>
              <w:top w:val="single" w:sz="4" w:space="0" w:color="auto"/>
              <w:left w:val="single" w:sz="4" w:space="0" w:color="auto"/>
              <w:bottom w:val="single" w:sz="4" w:space="0" w:color="auto"/>
              <w:right w:val="single" w:sz="4" w:space="0" w:color="000000"/>
            </w:tcBorders>
            <w:shd w:val="clear" w:color="000000" w:fill="E7E6E6"/>
            <w:noWrap/>
            <w:vAlign w:val="bottom"/>
            <w:hideMark/>
          </w:tcPr>
          <w:p w:rsidR="007604E6" w:rsidRPr="007604E6" w:rsidRDefault="007604E6" w:rsidP="007604E6">
            <w:pPr>
              <w:spacing w:after="0" w:line="240" w:lineRule="auto"/>
              <w:rPr>
                <w:rFonts w:ascii="Arial" w:eastAsia="Times New Roman" w:hAnsi="Arial" w:cs="Arial"/>
                <w:b/>
                <w:bCs/>
                <w:sz w:val="20"/>
                <w:szCs w:val="20"/>
                <w:lang w:eastAsia="fr-FR"/>
              </w:rPr>
            </w:pPr>
            <w:r w:rsidRPr="007604E6">
              <w:rPr>
                <w:rFonts w:ascii="Arial" w:eastAsia="Times New Roman" w:hAnsi="Arial" w:cs="Arial"/>
                <w:b/>
                <w:bCs/>
                <w:sz w:val="20"/>
                <w:szCs w:val="20"/>
                <w:lang w:eastAsia="fr-FR"/>
              </w:rPr>
              <w:t>Budget principal 2024</w:t>
            </w:r>
          </w:p>
        </w:tc>
        <w:tc>
          <w:tcPr>
            <w:tcW w:w="1800" w:type="dxa"/>
            <w:tcBorders>
              <w:top w:val="single" w:sz="4" w:space="0" w:color="auto"/>
              <w:left w:val="nil"/>
              <w:bottom w:val="single" w:sz="4" w:space="0" w:color="auto"/>
              <w:right w:val="single" w:sz="4" w:space="0" w:color="auto"/>
            </w:tcBorders>
            <w:shd w:val="clear" w:color="000000" w:fill="E7E6E6"/>
            <w:noWrap/>
            <w:vAlign w:val="bottom"/>
            <w:hideMark/>
          </w:tcPr>
          <w:p w:rsidR="007604E6" w:rsidRPr="007604E6" w:rsidRDefault="007604E6" w:rsidP="007604E6">
            <w:pPr>
              <w:spacing w:after="0" w:line="240" w:lineRule="auto"/>
              <w:jc w:val="right"/>
              <w:rPr>
                <w:rFonts w:ascii="Arial" w:eastAsia="Times New Roman" w:hAnsi="Arial" w:cs="Arial"/>
                <w:sz w:val="20"/>
                <w:szCs w:val="20"/>
                <w:lang w:eastAsia="fr-FR"/>
              </w:rPr>
            </w:pPr>
            <w:r w:rsidRPr="007604E6">
              <w:rPr>
                <w:rFonts w:ascii="Arial" w:eastAsia="Times New Roman" w:hAnsi="Arial" w:cs="Arial"/>
                <w:sz w:val="20"/>
                <w:szCs w:val="20"/>
                <w:lang w:eastAsia="fr-FR"/>
              </w:rPr>
              <w:t>6 534 600</w:t>
            </w:r>
          </w:p>
        </w:tc>
      </w:tr>
      <w:tr w:rsidR="007604E6" w:rsidRPr="007604E6" w:rsidTr="00270581">
        <w:trPr>
          <w:trHeight w:val="255"/>
        </w:trPr>
        <w:tc>
          <w:tcPr>
            <w:tcW w:w="399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604E6" w:rsidRPr="007604E6" w:rsidRDefault="00270581" w:rsidP="007604E6">
            <w:pPr>
              <w:spacing w:after="0" w:line="240" w:lineRule="auto"/>
              <w:rPr>
                <w:rFonts w:ascii="Arial" w:eastAsia="Times New Roman" w:hAnsi="Arial" w:cs="Arial"/>
                <w:sz w:val="20"/>
                <w:szCs w:val="20"/>
                <w:lang w:eastAsia="fr-FR"/>
              </w:rPr>
            </w:pPr>
            <w:r w:rsidRPr="007604E6">
              <w:rPr>
                <w:rFonts w:ascii="Arial" w:eastAsia="Times New Roman" w:hAnsi="Arial" w:cs="Arial"/>
                <w:sz w:val="20"/>
                <w:szCs w:val="20"/>
                <w:lang w:eastAsia="fr-FR"/>
              </w:rPr>
              <w:t>Refacturation</w:t>
            </w:r>
            <w:r w:rsidR="007604E6" w:rsidRPr="007604E6">
              <w:rPr>
                <w:rFonts w:ascii="Arial" w:eastAsia="Times New Roman" w:hAnsi="Arial" w:cs="Arial"/>
                <w:sz w:val="20"/>
                <w:szCs w:val="20"/>
                <w:lang w:eastAsia="fr-FR"/>
              </w:rPr>
              <w:t xml:space="preserve"> aux budgets annexes</w:t>
            </w:r>
          </w:p>
        </w:tc>
        <w:tc>
          <w:tcPr>
            <w:tcW w:w="2223" w:type="dxa"/>
            <w:tcBorders>
              <w:top w:val="nil"/>
              <w:left w:val="nil"/>
              <w:bottom w:val="single" w:sz="4" w:space="0" w:color="auto"/>
              <w:right w:val="single" w:sz="4" w:space="0" w:color="auto"/>
            </w:tcBorders>
            <w:shd w:val="clear" w:color="auto" w:fill="auto"/>
            <w:noWrap/>
            <w:vAlign w:val="bottom"/>
            <w:hideMark/>
          </w:tcPr>
          <w:p w:rsidR="007604E6" w:rsidRPr="007604E6" w:rsidRDefault="00041D30" w:rsidP="007604E6">
            <w:pPr>
              <w:spacing w:after="0" w:line="240" w:lineRule="auto"/>
              <w:rPr>
                <w:rFonts w:ascii="Arial" w:eastAsia="Times New Roman" w:hAnsi="Arial" w:cs="Arial"/>
                <w:sz w:val="20"/>
                <w:szCs w:val="20"/>
                <w:lang w:eastAsia="fr-FR"/>
              </w:rPr>
            </w:pPr>
            <w:r w:rsidRPr="007604E6">
              <w:rPr>
                <w:rFonts w:ascii="Arial" w:eastAsia="Times New Roman" w:hAnsi="Arial" w:cs="Arial"/>
                <w:sz w:val="20"/>
                <w:szCs w:val="20"/>
                <w:lang w:eastAsia="fr-FR"/>
              </w:rPr>
              <w:t>Déchets</w:t>
            </w:r>
          </w:p>
        </w:tc>
        <w:tc>
          <w:tcPr>
            <w:tcW w:w="1800" w:type="dxa"/>
            <w:tcBorders>
              <w:top w:val="nil"/>
              <w:left w:val="nil"/>
              <w:bottom w:val="single" w:sz="4" w:space="0" w:color="auto"/>
              <w:right w:val="single" w:sz="4" w:space="0" w:color="auto"/>
            </w:tcBorders>
            <w:shd w:val="clear" w:color="auto" w:fill="auto"/>
            <w:noWrap/>
            <w:vAlign w:val="bottom"/>
            <w:hideMark/>
          </w:tcPr>
          <w:p w:rsidR="007604E6" w:rsidRPr="007604E6" w:rsidRDefault="007604E6" w:rsidP="007604E6">
            <w:pPr>
              <w:spacing w:after="0" w:line="240" w:lineRule="auto"/>
              <w:jc w:val="right"/>
              <w:rPr>
                <w:rFonts w:ascii="Arial" w:eastAsia="Times New Roman" w:hAnsi="Arial" w:cs="Arial"/>
                <w:sz w:val="20"/>
                <w:szCs w:val="20"/>
                <w:lang w:eastAsia="fr-FR"/>
              </w:rPr>
            </w:pPr>
            <w:r w:rsidRPr="007604E6">
              <w:rPr>
                <w:rFonts w:ascii="Arial" w:eastAsia="Times New Roman" w:hAnsi="Arial" w:cs="Arial"/>
                <w:sz w:val="20"/>
                <w:szCs w:val="20"/>
                <w:lang w:eastAsia="fr-FR"/>
              </w:rPr>
              <w:t>962 884</w:t>
            </w:r>
          </w:p>
        </w:tc>
      </w:tr>
      <w:tr w:rsidR="007604E6" w:rsidRPr="007604E6" w:rsidTr="00270581">
        <w:trPr>
          <w:trHeight w:val="255"/>
        </w:trPr>
        <w:tc>
          <w:tcPr>
            <w:tcW w:w="3992" w:type="dxa"/>
            <w:vMerge/>
            <w:tcBorders>
              <w:top w:val="single" w:sz="4" w:space="0" w:color="auto"/>
              <w:left w:val="single" w:sz="4" w:space="0" w:color="auto"/>
              <w:bottom w:val="single" w:sz="4" w:space="0" w:color="000000"/>
              <w:right w:val="single" w:sz="4" w:space="0" w:color="000000"/>
            </w:tcBorders>
            <w:vAlign w:val="center"/>
            <w:hideMark/>
          </w:tcPr>
          <w:p w:rsidR="007604E6" w:rsidRPr="007604E6" w:rsidRDefault="007604E6" w:rsidP="007604E6">
            <w:pPr>
              <w:spacing w:after="0" w:line="240" w:lineRule="auto"/>
              <w:rPr>
                <w:rFonts w:ascii="Arial" w:eastAsia="Times New Roman" w:hAnsi="Arial" w:cs="Arial"/>
                <w:sz w:val="20"/>
                <w:szCs w:val="20"/>
                <w:lang w:eastAsia="fr-FR"/>
              </w:rPr>
            </w:pPr>
          </w:p>
        </w:tc>
        <w:tc>
          <w:tcPr>
            <w:tcW w:w="2223" w:type="dxa"/>
            <w:tcBorders>
              <w:top w:val="nil"/>
              <w:left w:val="nil"/>
              <w:bottom w:val="single" w:sz="4" w:space="0" w:color="auto"/>
              <w:right w:val="single" w:sz="4" w:space="0" w:color="auto"/>
            </w:tcBorders>
            <w:shd w:val="clear" w:color="auto" w:fill="auto"/>
            <w:noWrap/>
            <w:vAlign w:val="bottom"/>
            <w:hideMark/>
          </w:tcPr>
          <w:p w:rsidR="007604E6" w:rsidRPr="007604E6" w:rsidRDefault="00041D30" w:rsidP="007604E6">
            <w:pPr>
              <w:spacing w:after="0" w:line="240" w:lineRule="auto"/>
              <w:rPr>
                <w:rFonts w:ascii="Arial" w:eastAsia="Times New Roman" w:hAnsi="Arial" w:cs="Arial"/>
                <w:sz w:val="20"/>
                <w:szCs w:val="20"/>
                <w:lang w:eastAsia="fr-FR"/>
              </w:rPr>
            </w:pPr>
            <w:r w:rsidRPr="007604E6">
              <w:rPr>
                <w:rFonts w:ascii="Arial" w:eastAsia="Times New Roman" w:hAnsi="Arial" w:cs="Arial"/>
                <w:sz w:val="20"/>
                <w:szCs w:val="20"/>
                <w:lang w:eastAsia="fr-FR"/>
              </w:rPr>
              <w:t>Eau</w:t>
            </w:r>
            <w:r w:rsidR="007604E6" w:rsidRPr="007604E6">
              <w:rPr>
                <w:rFonts w:ascii="Arial" w:eastAsia="Times New Roman" w:hAnsi="Arial" w:cs="Arial"/>
                <w:sz w:val="20"/>
                <w:szCs w:val="20"/>
                <w:lang w:eastAsia="fr-FR"/>
              </w:rPr>
              <w:t>/assainissement</w:t>
            </w:r>
          </w:p>
        </w:tc>
        <w:tc>
          <w:tcPr>
            <w:tcW w:w="1800" w:type="dxa"/>
            <w:tcBorders>
              <w:top w:val="nil"/>
              <w:left w:val="nil"/>
              <w:bottom w:val="single" w:sz="4" w:space="0" w:color="auto"/>
              <w:right w:val="single" w:sz="4" w:space="0" w:color="auto"/>
            </w:tcBorders>
            <w:shd w:val="clear" w:color="auto" w:fill="auto"/>
            <w:noWrap/>
            <w:vAlign w:val="bottom"/>
            <w:hideMark/>
          </w:tcPr>
          <w:p w:rsidR="007604E6" w:rsidRPr="007604E6" w:rsidRDefault="007604E6" w:rsidP="007604E6">
            <w:pPr>
              <w:spacing w:after="0" w:line="240" w:lineRule="auto"/>
              <w:jc w:val="right"/>
              <w:rPr>
                <w:rFonts w:ascii="Arial" w:eastAsia="Times New Roman" w:hAnsi="Arial" w:cs="Arial"/>
                <w:sz w:val="20"/>
                <w:szCs w:val="20"/>
                <w:lang w:eastAsia="fr-FR"/>
              </w:rPr>
            </w:pPr>
            <w:r w:rsidRPr="007604E6">
              <w:rPr>
                <w:rFonts w:ascii="Arial" w:eastAsia="Times New Roman" w:hAnsi="Arial" w:cs="Arial"/>
                <w:sz w:val="20"/>
                <w:szCs w:val="20"/>
                <w:lang w:eastAsia="fr-FR"/>
              </w:rPr>
              <w:t>96 550</w:t>
            </w:r>
          </w:p>
        </w:tc>
      </w:tr>
      <w:tr w:rsidR="007604E6" w:rsidRPr="007604E6" w:rsidTr="00270581">
        <w:trPr>
          <w:trHeight w:val="255"/>
        </w:trPr>
        <w:tc>
          <w:tcPr>
            <w:tcW w:w="3992" w:type="dxa"/>
            <w:vMerge/>
            <w:tcBorders>
              <w:top w:val="single" w:sz="4" w:space="0" w:color="auto"/>
              <w:left w:val="single" w:sz="4" w:space="0" w:color="auto"/>
              <w:bottom w:val="single" w:sz="4" w:space="0" w:color="000000"/>
              <w:right w:val="single" w:sz="4" w:space="0" w:color="000000"/>
            </w:tcBorders>
            <w:vAlign w:val="center"/>
            <w:hideMark/>
          </w:tcPr>
          <w:p w:rsidR="007604E6" w:rsidRPr="007604E6" w:rsidRDefault="007604E6" w:rsidP="007604E6">
            <w:pPr>
              <w:spacing w:after="0" w:line="240" w:lineRule="auto"/>
              <w:rPr>
                <w:rFonts w:ascii="Arial" w:eastAsia="Times New Roman" w:hAnsi="Arial" w:cs="Arial"/>
                <w:sz w:val="20"/>
                <w:szCs w:val="20"/>
                <w:lang w:eastAsia="fr-FR"/>
              </w:rPr>
            </w:pPr>
          </w:p>
        </w:tc>
        <w:tc>
          <w:tcPr>
            <w:tcW w:w="2223" w:type="dxa"/>
            <w:tcBorders>
              <w:top w:val="nil"/>
              <w:left w:val="nil"/>
              <w:bottom w:val="single" w:sz="4" w:space="0" w:color="auto"/>
              <w:right w:val="single" w:sz="4" w:space="0" w:color="auto"/>
            </w:tcBorders>
            <w:shd w:val="clear" w:color="auto" w:fill="auto"/>
            <w:noWrap/>
            <w:vAlign w:val="bottom"/>
            <w:hideMark/>
          </w:tcPr>
          <w:p w:rsidR="007604E6" w:rsidRPr="007604E6" w:rsidRDefault="007604E6" w:rsidP="007604E6">
            <w:pPr>
              <w:spacing w:after="0" w:line="240" w:lineRule="auto"/>
              <w:rPr>
                <w:rFonts w:ascii="Arial" w:eastAsia="Times New Roman" w:hAnsi="Arial" w:cs="Arial"/>
                <w:sz w:val="20"/>
                <w:szCs w:val="20"/>
                <w:lang w:eastAsia="fr-FR"/>
              </w:rPr>
            </w:pPr>
            <w:r w:rsidRPr="007604E6">
              <w:rPr>
                <w:rFonts w:ascii="Arial" w:eastAsia="Times New Roman" w:hAnsi="Arial" w:cs="Arial"/>
                <w:sz w:val="20"/>
                <w:szCs w:val="20"/>
                <w:lang w:eastAsia="fr-FR"/>
              </w:rPr>
              <w:t>EMI</w:t>
            </w:r>
          </w:p>
        </w:tc>
        <w:tc>
          <w:tcPr>
            <w:tcW w:w="1800" w:type="dxa"/>
            <w:tcBorders>
              <w:top w:val="nil"/>
              <w:left w:val="nil"/>
              <w:bottom w:val="single" w:sz="4" w:space="0" w:color="auto"/>
              <w:right w:val="single" w:sz="4" w:space="0" w:color="auto"/>
            </w:tcBorders>
            <w:shd w:val="clear" w:color="auto" w:fill="auto"/>
            <w:noWrap/>
            <w:vAlign w:val="bottom"/>
            <w:hideMark/>
          </w:tcPr>
          <w:p w:rsidR="007604E6" w:rsidRPr="007604E6" w:rsidRDefault="007604E6" w:rsidP="007604E6">
            <w:pPr>
              <w:spacing w:after="0" w:line="240" w:lineRule="auto"/>
              <w:jc w:val="right"/>
              <w:rPr>
                <w:rFonts w:ascii="Arial" w:eastAsia="Times New Roman" w:hAnsi="Arial" w:cs="Arial"/>
                <w:sz w:val="20"/>
                <w:szCs w:val="20"/>
                <w:lang w:eastAsia="fr-FR"/>
              </w:rPr>
            </w:pPr>
            <w:r w:rsidRPr="007604E6">
              <w:rPr>
                <w:rFonts w:ascii="Arial" w:eastAsia="Times New Roman" w:hAnsi="Arial" w:cs="Arial"/>
                <w:sz w:val="20"/>
                <w:szCs w:val="20"/>
                <w:lang w:eastAsia="fr-FR"/>
              </w:rPr>
              <w:t>149 000</w:t>
            </w:r>
          </w:p>
        </w:tc>
      </w:tr>
      <w:tr w:rsidR="007604E6" w:rsidRPr="007604E6" w:rsidTr="00270581">
        <w:trPr>
          <w:trHeight w:val="255"/>
        </w:trPr>
        <w:tc>
          <w:tcPr>
            <w:tcW w:w="3992" w:type="dxa"/>
            <w:vMerge/>
            <w:tcBorders>
              <w:top w:val="single" w:sz="4" w:space="0" w:color="auto"/>
              <w:left w:val="single" w:sz="4" w:space="0" w:color="auto"/>
              <w:bottom w:val="single" w:sz="4" w:space="0" w:color="000000"/>
              <w:right w:val="single" w:sz="4" w:space="0" w:color="000000"/>
            </w:tcBorders>
            <w:vAlign w:val="center"/>
            <w:hideMark/>
          </w:tcPr>
          <w:p w:rsidR="007604E6" w:rsidRPr="007604E6" w:rsidRDefault="007604E6" w:rsidP="007604E6">
            <w:pPr>
              <w:spacing w:after="0" w:line="240" w:lineRule="auto"/>
              <w:rPr>
                <w:rFonts w:ascii="Arial" w:eastAsia="Times New Roman" w:hAnsi="Arial" w:cs="Arial"/>
                <w:sz w:val="20"/>
                <w:szCs w:val="20"/>
                <w:lang w:eastAsia="fr-FR"/>
              </w:rPr>
            </w:pPr>
          </w:p>
        </w:tc>
        <w:tc>
          <w:tcPr>
            <w:tcW w:w="2223" w:type="dxa"/>
            <w:tcBorders>
              <w:top w:val="nil"/>
              <w:left w:val="nil"/>
              <w:bottom w:val="single" w:sz="4" w:space="0" w:color="auto"/>
              <w:right w:val="single" w:sz="4" w:space="0" w:color="auto"/>
            </w:tcBorders>
            <w:shd w:val="clear" w:color="auto" w:fill="auto"/>
            <w:noWrap/>
            <w:vAlign w:val="bottom"/>
            <w:hideMark/>
          </w:tcPr>
          <w:p w:rsidR="007604E6" w:rsidRPr="007604E6" w:rsidRDefault="00041D30" w:rsidP="007604E6">
            <w:pPr>
              <w:spacing w:after="0" w:line="240" w:lineRule="auto"/>
              <w:rPr>
                <w:rFonts w:ascii="Arial" w:eastAsia="Times New Roman" w:hAnsi="Arial" w:cs="Arial"/>
                <w:sz w:val="20"/>
                <w:szCs w:val="20"/>
                <w:lang w:eastAsia="fr-FR"/>
              </w:rPr>
            </w:pPr>
            <w:r w:rsidRPr="007604E6">
              <w:rPr>
                <w:rFonts w:ascii="Arial" w:eastAsia="Times New Roman" w:hAnsi="Arial" w:cs="Arial"/>
                <w:sz w:val="20"/>
                <w:szCs w:val="20"/>
                <w:lang w:eastAsia="fr-FR"/>
              </w:rPr>
              <w:t>Port</w:t>
            </w:r>
          </w:p>
        </w:tc>
        <w:tc>
          <w:tcPr>
            <w:tcW w:w="1800" w:type="dxa"/>
            <w:tcBorders>
              <w:top w:val="nil"/>
              <w:left w:val="nil"/>
              <w:bottom w:val="single" w:sz="4" w:space="0" w:color="auto"/>
              <w:right w:val="single" w:sz="4" w:space="0" w:color="auto"/>
            </w:tcBorders>
            <w:shd w:val="clear" w:color="auto" w:fill="auto"/>
            <w:noWrap/>
            <w:vAlign w:val="bottom"/>
            <w:hideMark/>
          </w:tcPr>
          <w:p w:rsidR="007604E6" w:rsidRPr="007604E6" w:rsidRDefault="007604E6" w:rsidP="007604E6">
            <w:pPr>
              <w:spacing w:after="0" w:line="240" w:lineRule="auto"/>
              <w:jc w:val="right"/>
              <w:rPr>
                <w:rFonts w:ascii="Arial" w:eastAsia="Times New Roman" w:hAnsi="Arial" w:cs="Arial"/>
                <w:sz w:val="20"/>
                <w:szCs w:val="20"/>
                <w:lang w:eastAsia="fr-FR"/>
              </w:rPr>
            </w:pPr>
            <w:r w:rsidRPr="007604E6">
              <w:rPr>
                <w:rFonts w:ascii="Arial" w:eastAsia="Times New Roman" w:hAnsi="Arial" w:cs="Arial"/>
                <w:sz w:val="20"/>
                <w:szCs w:val="20"/>
                <w:lang w:eastAsia="fr-FR"/>
              </w:rPr>
              <w:t>51 985</w:t>
            </w:r>
          </w:p>
        </w:tc>
      </w:tr>
      <w:tr w:rsidR="007604E6" w:rsidRPr="007604E6" w:rsidTr="00270581">
        <w:trPr>
          <w:trHeight w:val="255"/>
        </w:trPr>
        <w:tc>
          <w:tcPr>
            <w:tcW w:w="3992" w:type="dxa"/>
            <w:vMerge/>
            <w:tcBorders>
              <w:top w:val="single" w:sz="4" w:space="0" w:color="auto"/>
              <w:left w:val="single" w:sz="4" w:space="0" w:color="auto"/>
              <w:bottom w:val="single" w:sz="4" w:space="0" w:color="000000"/>
              <w:right w:val="single" w:sz="4" w:space="0" w:color="000000"/>
            </w:tcBorders>
            <w:vAlign w:val="center"/>
            <w:hideMark/>
          </w:tcPr>
          <w:p w:rsidR="007604E6" w:rsidRPr="007604E6" w:rsidRDefault="007604E6" w:rsidP="007604E6">
            <w:pPr>
              <w:spacing w:after="0" w:line="240" w:lineRule="auto"/>
              <w:rPr>
                <w:rFonts w:ascii="Arial" w:eastAsia="Times New Roman" w:hAnsi="Arial" w:cs="Arial"/>
                <w:sz w:val="20"/>
                <w:szCs w:val="20"/>
                <w:lang w:eastAsia="fr-FR"/>
              </w:rPr>
            </w:pPr>
          </w:p>
        </w:tc>
        <w:tc>
          <w:tcPr>
            <w:tcW w:w="2223" w:type="dxa"/>
            <w:tcBorders>
              <w:top w:val="nil"/>
              <w:left w:val="nil"/>
              <w:bottom w:val="single" w:sz="4" w:space="0" w:color="auto"/>
              <w:right w:val="single" w:sz="4" w:space="0" w:color="auto"/>
            </w:tcBorders>
            <w:shd w:val="clear" w:color="auto" w:fill="auto"/>
            <w:noWrap/>
            <w:vAlign w:val="bottom"/>
            <w:hideMark/>
          </w:tcPr>
          <w:p w:rsidR="007604E6" w:rsidRPr="007604E6" w:rsidRDefault="007604E6" w:rsidP="007604E6">
            <w:pPr>
              <w:spacing w:after="0" w:line="240" w:lineRule="auto"/>
              <w:rPr>
                <w:rFonts w:ascii="Arial" w:eastAsia="Times New Roman" w:hAnsi="Arial" w:cs="Arial"/>
                <w:sz w:val="20"/>
                <w:szCs w:val="20"/>
                <w:lang w:eastAsia="fr-FR"/>
              </w:rPr>
            </w:pPr>
            <w:r w:rsidRPr="007604E6">
              <w:rPr>
                <w:rFonts w:ascii="Arial" w:eastAsia="Times New Roman" w:hAnsi="Arial" w:cs="Arial"/>
                <w:sz w:val="20"/>
                <w:szCs w:val="20"/>
                <w:lang w:eastAsia="fr-FR"/>
              </w:rPr>
              <w:t>CLIC</w:t>
            </w:r>
          </w:p>
        </w:tc>
        <w:tc>
          <w:tcPr>
            <w:tcW w:w="1800" w:type="dxa"/>
            <w:tcBorders>
              <w:top w:val="nil"/>
              <w:left w:val="nil"/>
              <w:bottom w:val="single" w:sz="4" w:space="0" w:color="auto"/>
              <w:right w:val="single" w:sz="4" w:space="0" w:color="auto"/>
            </w:tcBorders>
            <w:shd w:val="clear" w:color="auto" w:fill="auto"/>
            <w:noWrap/>
            <w:vAlign w:val="bottom"/>
            <w:hideMark/>
          </w:tcPr>
          <w:p w:rsidR="007604E6" w:rsidRPr="007604E6" w:rsidRDefault="007604E6" w:rsidP="006C4096">
            <w:pPr>
              <w:spacing w:after="0" w:line="240" w:lineRule="auto"/>
              <w:jc w:val="right"/>
              <w:rPr>
                <w:rFonts w:ascii="Arial" w:eastAsia="Times New Roman" w:hAnsi="Arial" w:cs="Arial"/>
                <w:sz w:val="20"/>
                <w:szCs w:val="20"/>
                <w:lang w:eastAsia="fr-FR"/>
              </w:rPr>
            </w:pPr>
            <w:r w:rsidRPr="007604E6">
              <w:rPr>
                <w:rFonts w:ascii="Arial" w:eastAsia="Times New Roman" w:hAnsi="Arial" w:cs="Arial"/>
                <w:sz w:val="20"/>
                <w:szCs w:val="20"/>
                <w:lang w:eastAsia="fr-FR"/>
              </w:rPr>
              <w:t>7</w:t>
            </w:r>
            <w:r w:rsidR="006C4096">
              <w:rPr>
                <w:rFonts w:ascii="Arial" w:eastAsia="Times New Roman" w:hAnsi="Arial" w:cs="Arial"/>
                <w:sz w:val="20"/>
                <w:szCs w:val="20"/>
                <w:lang w:eastAsia="fr-FR"/>
              </w:rPr>
              <w:t>7</w:t>
            </w:r>
            <w:r w:rsidRPr="007604E6">
              <w:rPr>
                <w:rFonts w:ascii="Arial" w:eastAsia="Times New Roman" w:hAnsi="Arial" w:cs="Arial"/>
                <w:sz w:val="20"/>
                <w:szCs w:val="20"/>
                <w:lang w:eastAsia="fr-FR"/>
              </w:rPr>
              <w:t xml:space="preserve"> 000</w:t>
            </w:r>
          </w:p>
        </w:tc>
      </w:tr>
      <w:tr w:rsidR="007604E6" w:rsidRPr="007604E6" w:rsidTr="00270581">
        <w:trPr>
          <w:trHeight w:val="255"/>
        </w:trPr>
        <w:tc>
          <w:tcPr>
            <w:tcW w:w="3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04E6" w:rsidRPr="007604E6" w:rsidRDefault="007604E6" w:rsidP="007604E6">
            <w:pPr>
              <w:spacing w:after="0" w:line="240" w:lineRule="auto"/>
              <w:rPr>
                <w:rFonts w:ascii="Arial" w:eastAsia="Times New Roman" w:hAnsi="Arial" w:cs="Arial"/>
                <w:sz w:val="20"/>
                <w:szCs w:val="20"/>
                <w:lang w:eastAsia="fr-FR"/>
              </w:rPr>
            </w:pPr>
            <w:r w:rsidRPr="007604E6">
              <w:rPr>
                <w:rFonts w:ascii="Arial" w:eastAsia="Times New Roman" w:hAnsi="Arial" w:cs="Arial"/>
                <w:sz w:val="20"/>
                <w:szCs w:val="20"/>
                <w:lang w:eastAsia="fr-FR"/>
              </w:rPr>
              <w:t>Solde à charge du budget principal</w:t>
            </w:r>
          </w:p>
        </w:tc>
        <w:tc>
          <w:tcPr>
            <w:tcW w:w="2223" w:type="dxa"/>
            <w:tcBorders>
              <w:top w:val="nil"/>
              <w:left w:val="nil"/>
              <w:bottom w:val="single" w:sz="4" w:space="0" w:color="auto"/>
              <w:right w:val="single" w:sz="4" w:space="0" w:color="auto"/>
            </w:tcBorders>
            <w:shd w:val="clear" w:color="auto" w:fill="auto"/>
            <w:noWrap/>
            <w:vAlign w:val="bottom"/>
            <w:hideMark/>
          </w:tcPr>
          <w:p w:rsidR="007604E6" w:rsidRPr="007604E6" w:rsidRDefault="007604E6" w:rsidP="007604E6">
            <w:pPr>
              <w:spacing w:after="0" w:line="240" w:lineRule="auto"/>
              <w:rPr>
                <w:rFonts w:ascii="Arial" w:eastAsia="Times New Roman" w:hAnsi="Arial" w:cs="Arial"/>
                <w:sz w:val="20"/>
                <w:szCs w:val="20"/>
                <w:lang w:eastAsia="fr-FR"/>
              </w:rPr>
            </w:pPr>
            <w:r w:rsidRPr="007604E6">
              <w:rPr>
                <w:rFonts w:ascii="Arial" w:eastAsia="Times New Roman" w:hAnsi="Arial" w:cs="Arial"/>
                <w:sz w:val="20"/>
                <w:szCs w:val="20"/>
                <w:lang w:eastAsia="fr-FR"/>
              </w:rPr>
              <w:t> </w:t>
            </w:r>
          </w:p>
        </w:tc>
        <w:tc>
          <w:tcPr>
            <w:tcW w:w="1800" w:type="dxa"/>
            <w:tcBorders>
              <w:top w:val="nil"/>
              <w:left w:val="nil"/>
              <w:bottom w:val="single" w:sz="4" w:space="0" w:color="auto"/>
              <w:right w:val="single" w:sz="4" w:space="0" w:color="auto"/>
            </w:tcBorders>
            <w:shd w:val="clear" w:color="auto" w:fill="auto"/>
            <w:noWrap/>
            <w:vAlign w:val="bottom"/>
            <w:hideMark/>
          </w:tcPr>
          <w:p w:rsidR="007604E6" w:rsidRPr="007604E6" w:rsidRDefault="007604E6" w:rsidP="007604E6">
            <w:pPr>
              <w:spacing w:after="0" w:line="240" w:lineRule="auto"/>
              <w:jc w:val="right"/>
              <w:rPr>
                <w:rFonts w:ascii="Arial" w:eastAsia="Times New Roman" w:hAnsi="Arial" w:cs="Arial"/>
                <w:sz w:val="20"/>
                <w:szCs w:val="20"/>
                <w:lang w:eastAsia="fr-FR"/>
              </w:rPr>
            </w:pPr>
            <w:r w:rsidRPr="007604E6">
              <w:rPr>
                <w:rFonts w:ascii="Arial" w:eastAsia="Times New Roman" w:hAnsi="Arial" w:cs="Arial"/>
                <w:sz w:val="20"/>
                <w:szCs w:val="20"/>
                <w:lang w:eastAsia="fr-FR"/>
              </w:rPr>
              <w:t>5 196 181</w:t>
            </w:r>
          </w:p>
        </w:tc>
      </w:tr>
      <w:tr w:rsidR="007604E6" w:rsidRPr="007604E6" w:rsidTr="00270581">
        <w:trPr>
          <w:trHeight w:val="255"/>
        </w:trPr>
        <w:tc>
          <w:tcPr>
            <w:tcW w:w="3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04E6" w:rsidRPr="007604E6" w:rsidRDefault="007604E6" w:rsidP="007604E6">
            <w:pPr>
              <w:spacing w:after="0" w:line="240" w:lineRule="auto"/>
              <w:rPr>
                <w:rFonts w:ascii="Arial" w:eastAsia="Times New Roman" w:hAnsi="Arial" w:cs="Arial"/>
                <w:sz w:val="20"/>
                <w:szCs w:val="20"/>
                <w:lang w:eastAsia="fr-FR"/>
              </w:rPr>
            </w:pPr>
            <w:r w:rsidRPr="007604E6">
              <w:rPr>
                <w:rFonts w:ascii="Arial" w:eastAsia="Times New Roman" w:hAnsi="Arial" w:cs="Arial"/>
                <w:sz w:val="20"/>
                <w:szCs w:val="20"/>
                <w:lang w:eastAsia="fr-FR"/>
              </w:rPr>
              <w:t>Remboursements assurances</w:t>
            </w:r>
          </w:p>
        </w:tc>
        <w:tc>
          <w:tcPr>
            <w:tcW w:w="2223" w:type="dxa"/>
            <w:tcBorders>
              <w:top w:val="nil"/>
              <w:left w:val="nil"/>
              <w:bottom w:val="single" w:sz="4" w:space="0" w:color="auto"/>
              <w:right w:val="single" w:sz="4" w:space="0" w:color="auto"/>
            </w:tcBorders>
            <w:shd w:val="clear" w:color="auto" w:fill="auto"/>
            <w:noWrap/>
            <w:vAlign w:val="bottom"/>
            <w:hideMark/>
          </w:tcPr>
          <w:p w:rsidR="007604E6" w:rsidRPr="007604E6" w:rsidRDefault="007604E6" w:rsidP="007604E6">
            <w:pPr>
              <w:spacing w:after="0" w:line="240" w:lineRule="auto"/>
              <w:rPr>
                <w:rFonts w:ascii="Arial" w:eastAsia="Times New Roman" w:hAnsi="Arial" w:cs="Arial"/>
                <w:sz w:val="20"/>
                <w:szCs w:val="20"/>
                <w:lang w:eastAsia="fr-FR"/>
              </w:rPr>
            </w:pPr>
            <w:r w:rsidRPr="007604E6">
              <w:rPr>
                <w:rFonts w:ascii="Arial" w:eastAsia="Times New Roman" w:hAnsi="Arial" w:cs="Arial"/>
                <w:sz w:val="20"/>
                <w:szCs w:val="20"/>
                <w:lang w:eastAsia="fr-FR"/>
              </w:rPr>
              <w:t> </w:t>
            </w:r>
          </w:p>
        </w:tc>
        <w:tc>
          <w:tcPr>
            <w:tcW w:w="1800" w:type="dxa"/>
            <w:tcBorders>
              <w:top w:val="nil"/>
              <w:left w:val="nil"/>
              <w:bottom w:val="single" w:sz="4" w:space="0" w:color="auto"/>
              <w:right w:val="single" w:sz="4" w:space="0" w:color="auto"/>
            </w:tcBorders>
            <w:shd w:val="clear" w:color="auto" w:fill="auto"/>
            <w:noWrap/>
            <w:vAlign w:val="bottom"/>
            <w:hideMark/>
          </w:tcPr>
          <w:p w:rsidR="007604E6" w:rsidRPr="007604E6" w:rsidRDefault="007604E6" w:rsidP="007604E6">
            <w:pPr>
              <w:spacing w:after="0" w:line="240" w:lineRule="auto"/>
              <w:jc w:val="right"/>
              <w:rPr>
                <w:rFonts w:ascii="Arial" w:eastAsia="Times New Roman" w:hAnsi="Arial" w:cs="Arial"/>
                <w:sz w:val="20"/>
                <w:szCs w:val="20"/>
                <w:lang w:eastAsia="fr-FR"/>
              </w:rPr>
            </w:pPr>
            <w:r w:rsidRPr="007604E6">
              <w:rPr>
                <w:rFonts w:ascii="Arial" w:eastAsia="Times New Roman" w:hAnsi="Arial" w:cs="Arial"/>
                <w:sz w:val="20"/>
                <w:szCs w:val="20"/>
                <w:lang w:eastAsia="fr-FR"/>
              </w:rPr>
              <w:t>95 500</w:t>
            </w:r>
          </w:p>
        </w:tc>
      </w:tr>
      <w:tr w:rsidR="007604E6" w:rsidRPr="007604E6" w:rsidTr="00270581">
        <w:trPr>
          <w:trHeight w:val="255"/>
        </w:trPr>
        <w:tc>
          <w:tcPr>
            <w:tcW w:w="3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04E6" w:rsidRPr="007604E6" w:rsidRDefault="00270581" w:rsidP="00270581">
            <w:pPr>
              <w:spacing w:after="0" w:line="240" w:lineRule="auto"/>
              <w:rPr>
                <w:rFonts w:ascii="Arial" w:eastAsia="Times New Roman" w:hAnsi="Arial" w:cs="Arial"/>
                <w:sz w:val="20"/>
                <w:szCs w:val="20"/>
                <w:lang w:eastAsia="fr-FR"/>
              </w:rPr>
            </w:pPr>
            <w:r w:rsidRPr="007604E6">
              <w:rPr>
                <w:rFonts w:ascii="Arial" w:eastAsia="Times New Roman" w:hAnsi="Arial" w:cs="Arial"/>
                <w:sz w:val="20"/>
                <w:szCs w:val="20"/>
                <w:lang w:eastAsia="fr-FR"/>
              </w:rPr>
              <w:t>Subventions</w:t>
            </w:r>
            <w:r w:rsidR="007604E6" w:rsidRPr="007604E6">
              <w:rPr>
                <w:rFonts w:ascii="Arial" w:eastAsia="Times New Roman" w:hAnsi="Arial" w:cs="Arial"/>
                <w:sz w:val="20"/>
                <w:szCs w:val="20"/>
                <w:lang w:eastAsia="fr-FR"/>
              </w:rPr>
              <w:t xml:space="preserve"> organismes (nouveaux postes)</w:t>
            </w:r>
          </w:p>
        </w:tc>
        <w:tc>
          <w:tcPr>
            <w:tcW w:w="2223" w:type="dxa"/>
            <w:tcBorders>
              <w:top w:val="nil"/>
              <w:left w:val="nil"/>
              <w:bottom w:val="single" w:sz="4" w:space="0" w:color="auto"/>
              <w:right w:val="single" w:sz="4" w:space="0" w:color="auto"/>
            </w:tcBorders>
            <w:shd w:val="clear" w:color="auto" w:fill="auto"/>
            <w:noWrap/>
            <w:vAlign w:val="bottom"/>
            <w:hideMark/>
          </w:tcPr>
          <w:p w:rsidR="007604E6" w:rsidRPr="007604E6" w:rsidRDefault="00270581" w:rsidP="007604E6">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Atlas biodiversité, Biodéchets</w:t>
            </w:r>
          </w:p>
        </w:tc>
        <w:tc>
          <w:tcPr>
            <w:tcW w:w="1800" w:type="dxa"/>
            <w:tcBorders>
              <w:top w:val="nil"/>
              <w:left w:val="nil"/>
              <w:bottom w:val="single" w:sz="4" w:space="0" w:color="auto"/>
              <w:right w:val="single" w:sz="4" w:space="0" w:color="auto"/>
            </w:tcBorders>
            <w:shd w:val="clear" w:color="auto" w:fill="auto"/>
            <w:noWrap/>
            <w:vAlign w:val="bottom"/>
            <w:hideMark/>
          </w:tcPr>
          <w:p w:rsidR="007604E6" w:rsidRPr="007604E6" w:rsidRDefault="00252341" w:rsidP="007604E6">
            <w:pPr>
              <w:spacing w:after="0" w:line="240" w:lineRule="auto"/>
              <w:jc w:val="right"/>
              <w:rPr>
                <w:rFonts w:ascii="Arial" w:eastAsia="Times New Roman" w:hAnsi="Arial" w:cs="Arial"/>
                <w:sz w:val="20"/>
                <w:szCs w:val="20"/>
                <w:lang w:eastAsia="fr-FR"/>
              </w:rPr>
            </w:pPr>
            <w:r>
              <w:rPr>
                <w:rFonts w:ascii="Arial" w:eastAsia="Times New Roman" w:hAnsi="Arial" w:cs="Arial"/>
                <w:sz w:val="20"/>
                <w:szCs w:val="20"/>
                <w:lang w:eastAsia="fr-FR"/>
              </w:rPr>
              <w:t>81 500</w:t>
            </w:r>
          </w:p>
        </w:tc>
      </w:tr>
      <w:tr w:rsidR="007604E6" w:rsidRPr="007604E6" w:rsidTr="00270581">
        <w:trPr>
          <w:trHeight w:val="255"/>
        </w:trPr>
        <w:tc>
          <w:tcPr>
            <w:tcW w:w="399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04E6" w:rsidRPr="007604E6" w:rsidRDefault="007604E6" w:rsidP="00270581">
            <w:pPr>
              <w:spacing w:after="0" w:line="240" w:lineRule="auto"/>
              <w:rPr>
                <w:rFonts w:ascii="Arial" w:eastAsia="Times New Roman" w:hAnsi="Arial" w:cs="Arial"/>
                <w:sz w:val="20"/>
                <w:szCs w:val="20"/>
                <w:lang w:eastAsia="fr-FR"/>
              </w:rPr>
            </w:pPr>
            <w:r w:rsidRPr="007604E6">
              <w:rPr>
                <w:rFonts w:ascii="Arial" w:eastAsia="Times New Roman" w:hAnsi="Arial" w:cs="Arial"/>
                <w:sz w:val="20"/>
                <w:szCs w:val="20"/>
                <w:lang w:eastAsia="fr-FR"/>
              </w:rPr>
              <w:t>Refacturation régul CNRACL détachements</w:t>
            </w:r>
          </w:p>
        </w:tc>
        <w:tc>
          <w:tcPr>
            <w:tcW w:w="2223" w:type="dxa"/>
            <w:tcBorders>
              <w:top w:val="nil"/>
              <w:left w:val="nil"/>
              <w:bottom w:val="single" w:sz="4" w:space="0" w:color="auto"/>
              <w:right w:val="single" w:sz="4" w:space="0" w:color="auto"/>
            </w:tcBorders>
            <w:shd w:val="clear" w:color="auto" w:fill="auto"/>
            <w:noWrap/>
            <w:vAlign w:val="bottom"/>
            <w:hideMark/>
          </w:tcPr>
          <w:p w:rsidR="007604E6" w:rsidRPr="007604E6" w:rsidRDefault="00041D30" w:rsidP="007604E6">
            <w:pPr>
              <w:spacing w:after="0" w:line="240" w:lineRule="auto"/>
              <w:rPr>
                <w:rFonts w:ascii="Arial" w:eastAsia="Times New Roman" w:hAnsi="Arial" w:cs="Arial"/>
                <w:sz w:val="20"/>
                <w:szCs w:val="20"/>
                <w:lang w:eastAsia="fr-FR"/>
              </w:rPr>
            </w:pPr>
            <w:r w:rsidRPr="007604E6">
              <w:rPr>
                <w:rFonts w:ascii="Arial" w:eastAsia="Times New Roman" w:hAnsi="Arial" w:cs="Arial"/>
                <w:sz w:val="20"/>
                <w:szCs w:val="20"/>
                <w:lang w:eastAsia="fr-FR"/>
              </w:rPr>
              <w:t>Eau</w:t>
            </w:r>
            <w:r w:rsidR="007604E6" w:rsidRPr="007604E6">
              <w:rPr>
                <w:rFonts w:ascii="Arial" w:eastAsia="Times New Roman" w:hAnsi="Arial" w:cs="Arial"/>
                <w:sz w:val="20"/>
                <w:szCs w:val="20"/>
                <w:lang w:eastAsia="fr-FR"/>
              </w:rPr>
              <w:t>/assainissement</w:t>
            </w:r>
          </w:p>
        </w:tc>
        <w:tc>
          <w:tcPr>
            <w:tcW w:w="1800" w:type="dxa"/>
            <w:tcBorders>
              <w:top w:val="nil"/>
              <w:left w:val="nil"/>
              <w:bottom w:val="single" w:sz="4" w:space="0" w:color="auto"/>
              <w:right w:val="single" w:sz="4" w:space="0" w:color="auto"/>
            </w:tcBorders>
            <w:shd w:val="clear" w:color="auto" w:fill="auto"/>
            <w:noWrap/>
            <w:vAlign w:val="bottom"/>
            <w:hideMark/>
          </w:tcPr>
          <w:p w:rsidR="007604E6" w:rsidRPr="007604E6" w:rsidRDefault="007604E6" w:rsidP="007604E6">
            <w:pPr>
              <w:spacing w:after="0" w:line="240" w:lineRule="auto"/>
              <w:jc w:val="right"/>
              <w:rPr>
                <w:rFonts w:ascii="Arial" w:eastAsia="Times New Roman" w:hAnsi="Arial" w:cs="Arial"/>
                <w:sz w:val="20"/>
                <w:szCs w:val="20"/>
                <w:lang w:eastAsia="fr-FR"/>
              </w:rPr>
            </w:pPr>
            <w:r w:rsidRPr="007604E6">
              <w:rPr>
                <w:rFonts w:ascii="Arial" w:eastAsia="Times New Roman" w:hAnsi="Arial" w:cs="Arial"/>
                <w:sz w:val="20"/>
                <w:szCs w:val="20"/>
                <w:lang w:eastAsia="fr-FR"/>
              </w:rPr>
              <w:t>120 000</w:t>
            </w:r>
          </w:p>
        </w:tc>
      </w:tr>
      <w:tr w:rsidR="00270581" w:rsidRPr="007604E6" w:rsidTr="00270581">
        <w:trPr>
          <w:trHeight w:val="255"/>
        </w:trPr>
        <w:tc>
          <w:tcPr>
            <w:tcW w:w="3992" w:type="dxa"/>
            <w:tcBorders>
              <w:top w:val="nil"/>
              <w:left w:val="single" w:sz="4" w:space="0" w:color="auto"/>
              <w:bottom w:val="single" w:sz="4" w:space="0" w:color="auto"/>
              <w:right w:val="single" w:sz="4" w:space="0" w:color="auto"/>
            </w:tcBorders>
            <w:shd w:val="clear" w:color="000000" w:fill="E7E6E6"/>
            <w:noWrap/>
            <w:vAlign w:val="bottom"/>
            <w:hideMark/>
          </w:tcPr>
          <w:p w:rsidR="00270581" w:rsidRPr="007604E6" w:rsidRDefault="00270581" w:rsidP="007604E6">
            <w:pPr>
              <w:spacing w:after="0" w:line="240" w:lineRule="auto"/>
              <w:rPr>
                <w:rFonts w:ascii="Arial" w:eastAsia="Times New Roman" w:hAnsi="Arial" w:cs="Arial"/>
                <w:sz w:val="20"/>
                <w:szCs w:val="20"/>
                <w:lang w:eastAsia="fr-FR"/>
              </w:rPr>
            </w:pPr>
            <w:r w:rsidRPr="007604E6">
              <w:rPr>
                <w:rFonts w:ascii="Arial" w:eastAsia="Times New Roman" w:hAnsi="Arial" w:cs="Arial"/>
                <w:sz w:val="20"/>
                <w:szCs w:val="20"/>
                <w:lang w:eastAsia="fr-FR"/>
              </w:rPr>
              <w:t>Solde net charges de personnel</w:t>
            </w:r>
          </w:p>
        </w:tc>
        <w:tc>
          <w:tcPr>
            <w:tcW w:w="2223" w:type="dxa"/>
            <w:tcBorders>
              <w:top w:val="nil"/>
              <w:left w:val="nil"/>
              <w:bottom w:val="single" w:sz="4" w:space="0" w:color="auto"/>
              <w:right w:val="single" w:sz="4" w:space="0" w:color="auto"/>
            </w:tcBorders>
            <w:shd w:val="clear" w:color="000000" w:fill="E7E6E6"/>
            <w:noWrap/>
            <w:vAlign w:val="bottom"/>
            <w:hideMark/>
          </w:tcPr>
          <w:p w:rsidR="00270581" w:rsidRPr="007604E6" w:rsidRDefault="00270581" w:rsidP="007604E6">
            <w:pPr>
              <w:spacing w:after="0" w:line="240" w:lineRule="auto"/>
              <w:rPr>
                <w:rFonts w:ascii="Arial" w:eastAsia="Times New Roman" w:hAnsi="Arial" w:cs="Arial"/>
                <w:sz w:val="20"/>
                <w:szCs w:val="20"/>
                <w:lang w:eastAsia="fr-FR"/>
              </w:rPr>
            </w:pPr>
            <w:r w:rsidRPr="007604E6">
              <w:rPr>
                <w:rFonts w:ascii="Arial" w:eastAsia="Times New Roman" w:hAnsi="Arial" w:cs="Arial"/>
                <w:sz w:val="20"/>
                <w:szCs w:val="20"/>
                <w:lang w:eastAsia="fr-FR"/>
              </w:rPr>
              <w:t> </w:t>
            </w:r>
          </w:p>
        </w:tc>
        <w:tc>
          <w:tcPr>
            <w:tcW w:w="1800" w:type="dxa"/>
            <w:tcBorders>
              <w:top w:val="nil"/>
              <w:left w:val="nil"/>
              <w:bottom w:val="single" w:sz="4" w:space="0" w:color="auto"/>
              <w:right w:val="single" w:sz="4" w:space="0" w:color="auto"/>
            </w:tcBorders>
            <w:shd w:val="clear" w:color="000000" w:fill="E7E6E6"/>
            <w:noWrap/>
            <w:vAlign w:val="bottom"/>
            <w:hideMark/>
          </w:tcPr>
          <w:p w:rsidR="00270581" w:rsidRPr="007604E6" w:rsidRDefault="00270581" w:rsidP="007604E6">
            <w:pPr>
              <w:spacing w:after="0" w:line="240" w:lineRule="auto"/>
              <w:jc w:val="right"/>
              <w:rPr>
                <w:rFonts w:ascii="Arial" w:eastAsia="Times New Roman" w:hAnsi="Arial" w:cs="Arial"/>
                <w:sz w:val="20"/>
                <w:szCs w:val="20"/>
                <w:lang w:eastAsia="fr-FR"/>
              </w:rPr>
            </w:pPr>
            <w:r w:rsidRPr="007604E6">
              <w:rPr>
                <w:rFonts w:ascii="Arial" w:eastAsia="Times New Roman" w:hAnsi="Arial" w:cs="Arial"/>
                <w:sz w:val="20"/>
                <w:szCs w:val="20"/>
                <w:lang w:eastAsia="fr-FR"/>
              </w:rPr>
              <w:t>4</w:t>
            </w:r>
            <w:r w:rsidR="000D5986">
              <w:rPr>
                <w:rFonts w:ascii="Arial" w:eastAsia="Times New Roman" w:hAnsi="Arial" w:cs="Arial"/>
                <w:sz w:val="20"/>
                <w:szCs w:val="20"/>
                <w:lang w:eastAsia="fr-FR"/>
              </w:rPr>
              <w:t> 898</w:t>
            </w:r>
            <w:r w:rsidR="00252341">
              <w:rPr>
                <w:rFonts w:ascii="Arial" w:eastAsia="Times New Roman" w:hAnsi="Arial" w:cs="Arial"/>
                <w:sz w:val="20"/>
                <w:szCs w:val="20"/>
                <w:lang w:eastAsia="fr-FR"/>
              </w:rPr>
              <w:t xml:space="preserve"> 181</w:t>
            </w:r>
          </w:p>
        </w:tc>
      </w:tr>
    </w:tbl>
    <w:p w:rsidR="00B635F9" w:rsidRPr="00294B7E" w:rsidRDefault="00794C68" w:rsidP="0068691C">
      <w:pPr>
        <w:shd w:val="clear" w:color="auto" w:fill="D5DCE4" w:themeFill="text2" w:themeFillTint="33"/>
        <w:jc w:val="both"/>
        <w:rPr>
          <w:b/>
        </w:rPr>
      </w:pPr>
      <w:r w:rsidRPr="00294B7E">
        <w:rPr>
          <w:b/>
        </w:rPr>
        <w:t>AUTRES CHARGES DE GESTION COURANTE</w:t>
      </w:r>
    </w:p>
    <w:p w:rsidR="00343FA7" w:rsidRDefault="00343FA7" w:rsidP="00AB2A01">
      <w:pPr>
        <w:jc w:val="both"/>
      </w:pPr>
      <w:r>
        <w:t xml:space="preserve">Le chapitre « autres charges de gestion courante » regroupe </w:t>
      </w:r>
    </w:p>
    <w:p w:rsidR="00294B7E" w:rsidRDefault="0068691C" w:rsidP="00343FA7">
      <w:pPr>
        <w:pStyle w:val="Paragraphedeliste"/>
        <w:numPr>
          <w:ilvl w:val="0"/>
          <w:numId w:val="1"/>
        </w:numPr>
        <w:jc w:val="both"/>
      </w:pPr>
      <w:r>
        <w:t>Les</w:t>
      </w:r>
      <w:r w:rsidR="00343FA7">
        <w:t xml:space="preserve"> contributions dans les organismes extérieurs</w:t>
      </w:r>
    </w:p>
    <w:p w:rsidR="00343FA7" w:rsidRDefault="00343FA7" w:rsidP="00343FA7">
      <w:pPr>
        <w:pStyle w:val="Paragraphedeliste"/>
        <w:numPr>
          <w:ilvl w:val="0"/>
          <w:numId w:val="1"/>
        </w:numPr>
        <w:jc w:val="both"/>
      </w:pPr>
      <w:proofErr w:type="gramStart"/>
      <w:r>
        <w:t>les</w:t>
      </w:r>
      <w:proofErr w:type="gramEnd"/>
      <w:r>
        <w:t xml:space="preserve"> subventions </w:t>
      </w:r>
      <w:r w:rsidR="0068691C">
        <w:t>de fonctionnement aux organismes externes</w:t>
      </w:r>
    </w:p>
    <w:p w:rsidR="0068691C" w:rsidRDefault="0068691C" w:rsidP="00343FA7">
      <w:pPr>
        <w:pStyle w:val="Paragraphedeliste"/>
        <w:numPr>
          <w:ilvl w:val="0"/>
          <w:numId w:val="1"/>
        </w:numPr>
        <w:jc w:val="both"/>
      </w:pPr>
      <w:proofErr w:type="gramStart"/>
      <w:r>
        <w:t>les</w:t>
      </w:r>
      <w:proofErr w:type="gramEnd"/>
      <w:r>
        <w:t xml:space="preserve"> indemnités d’élus</w:t>
      </w:r>
    </w:p>
    <w:p w:rsidR="0068691C" w:rsidRDefault="0068691C" w:rsidP="00343FA7">
      <w:pPr>
        <w:pStyle w:val="Paragraphedeliste"/>
        <w:numPr>
          <w:ilvl w:val="0"/>
          <w:numId w:val="1"/>
        </w:numPr>
        <w:jc w:val="both"/>
      </w:pPr>
      <w:proofErr w:type="gramStart"/>
      <w:r>
        <w:t>les</w:t>
      </w:r>
      <w:proofErr w:type="gramEnd"/>
      <w:r>
        <w:t xml:space="preserve"> contributions aux budgets annexes</w:t>
      </w:r>
      <w:r w:rsidR="005577FF">
        <w:t>.</w:t>
      </w:r>
    </w:p>
    <w:p w:rsidR="005577FF" w:rsidRDefault="005577FF" w:rsidP="005577FF">
      <w:pPr>
        <w:jc w:val="both"/>
      </w:pPr>
      <w:r>
        <w:t xml:space="preserve">Il s’agit pour une bonne part de dépenses </w:t>
      </w:r>
      <w:r w:rsidR="00C87CB9">
        <w:t>contraintes.</w:t>
      </w:r>
      <w:r>
        <w:t xml:space="preserve"> </w:t>
      </w:r>
    </w:p>
    <w:p w:rsidR="00D66613" w:rsidRDefault="00D66613" w:rsidP="005577FF">
      <w:pPr>
        <w:jc w:val="both"/>
      </w:pPr>
      <w:r>
        <w:t>Pour 2024, la prévision budgétaire est en baisse par rapport au prévisionnel de 2023 de 177 K€ et en hausse de 10.60% par rapport au réalisé 2023. Le volume de ce chapitre représente 3 340 142 € en prévision 2024.</w:t>
      </w:r>
    </w:p>
    <w:p w:rsidR="00223200" w:rsidRDefault="00223200" w:rsidP="005577FF">
      <w:pPr>
        <w:jc w:val="both"/>
      </w:pPr>
      <w:r>
        <w:t xml:space="preserve">Les tableaux ci-dessous présentent certains postes importants de ce chapitre. </w:t>
      </w:r>
    </w:p>
    <w:tbl>
      <w:tblPr>
        <w:tblW w:w="7655" w:type="dxa"/>
        <w:jc w:val="center"/>
        <w:tblCellMar>
          <w:left w:w="70" w:type="dxa"/>
          <w:right w:w="70" w:type="dxa"/>
        </w:tblCellMar>
        <w:tblLook w:val="04A0" w:firstRow="1" w:lastRow="0" w:firstColumn="1" w:lastColumn="0" w:noHBand="0" w:noVBand="1"/>
      </w:tblPr>
      <w:tblGrid>
        <w:gridCol w:w="5812"/>
        <w:gridCol w:w="1843"/>
      </w:tblGrid>
      <w:tr w:rsidR="00223200" w:rsidRPr="00223200" w:rsidTr="00BD13CD">
        <w:trPr>
          <w:trHeight w:val="255"/>
          <w:jc w:val="center"/>
        </w:trPr>
        <w:tc>
          <w:tcPr>
            <w:tcW w:w="5812"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223200" w:rsidRPr="00223200" w:rsidRDefault="00223200" w:rsidP="00223200">
            <w:pPr>
              <w:spacing w:after="0" w:line="240" w:lineRule="auto"/>
              <w:rPr>
                <w:rFonts w:ascii="Arial" w:eastAsia="Times New Roman" w:hAnsi="Arial" w:cs="Arial"/>
                <w:sz w:val="20"/>
                <w:szCs w:val="20"/>
                <w:lang w:eastAsia="fr-FR"/>
              </w:rPr>
            </w:pPr>
            <w:r w:rsidRPr="00223200">
              <w:rPr>
                <w:rFonts w:ascii="Arial" w:eastAsia="Times New Roman" w:hAnsi="Arial" w:cs="Arial"/>
                <w:sz w:val="20"/>
                <w:szCs w:val="20"/>
                <w:lang w:eastAsia="fr-FR"/>
              </w:rPr>
              <w:t>Article 6573641 - contributions budgets annexes et régies</w:t>
            </w:r>
          </w:p>
        </w:tc>
        <w:tc>
          <w:tcPr>
            <w:tcW w:w="1843" w:type="dxa"/>
            <w:tcBorders>
              <w:top w:val="single" w:sz="4" w:space="0" w:color="auto"/>
              <w:left w:val="nil"/>
              <w:bottom w:val="single" w:sz="4" w:space="0" w:color="auto"/>
              <w:right w:val="single" w:sz="4" w:space="0" w:color="auto"/>
            </w:tcBorders>
            <w:shd w:val="clear" w:color="000000" w:fill="D9E1F2"/>
            <w:noWrap/>
            <w:vAlign w:val="bottom"/>
            <w:hideMark/>
          </w:tcPr>
          <w:p w:rsidR="00223200" w:rsidRPr="00223200" w:rsidRDefault="00223200" w:rsidP="00223200">
            <w:pPr>
              <w:spacing w:after="0" w:line="240" w:lineRule="auto"/>
              <w:jc w:val="center"/>
              <w:rPr>
                <w:rFonts w:ascii="Arial" w:eastAsia="Times New Roman" w:hAnsi="Arial" w:cs="Arial"/>
                <w:sz w:val="20"/>
                <w:szCs w:val="20"/>
                <w:lang w:eastAsia="fr-FR"/>
              </w:rPr>
            </w:pPr>
            <w:r w:rsidRPr="00223200">
              <w:rPr>
                <w:rFonts w:ascii="Arial" w:eastAsia="Times New Roman" w:hAnsi="Arial" w:cs="Arial"/>
                <w:sz w:val="20"/>
                <w:szCs w:val="20"/>
                <w:lang w:eastAsia="fr-FR"/>
              </w:rPr>
              <w:t>Montant Euros</w:t>
            </w:r>
          </w:p>
        </w:tc>
      </w:tr>
      <w:tr w:rsidR="00223200" w:rsidRPr="00223200" w:rsidTr="00BD13CD">
        <w:trPr>
          <w:trHeight w:val="255"/>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223200" w:rsidRPr="00223200" w:rsidRDefault="00223200" w:rsidP="00223200">
            <w:pPr>
              <w:spacing w:after="0" w:line="240" w:lineRule="auto"/>
              <w:jc w:val="right"/>
              <w:rPr>
                <w:rFonts w:ascii="Arial" w:eastAsia="Times New Roman" w:hAnsi="Arial" w:cs="Arial"/>
                <w:sz w:val="20"/>
                <w:szCs w:val="20"/>
                <w:lang w:eastAsia="fr-FR"/>
              </w:rPr>
            </w:pPr>
            <w:r w:rsidRPr="00223200">
              <w:rPr>
                <w:rFonts w:ascii="Arial" w:eastAsia="Times New Roman" w:hAnsi="Arial" w:cs="Arial"/>
                <w:sz w:val="20"/>
                <w:szCs w:val="20"/>
                <w:lang w:eastAsia="fr-FR"/>
              </w:rPr>
              <w:t>EMI</w:t>
            </w:r>
          </w:p>
        </w:tc>
        <w:tc>
          <w:tcPr>
            <w:tcW w:w="1843" w:type="dxa"/>
            <w:tcBorders>
              <w:top w:val="nil"/>
              <w:left w:val="nil"/>
              <w:bottom w:val="single" w:sz="4" w:space="0" w:color="auto"/>
              <w:right w:val="single" w:sz="4" w:space="0" w:color="auto"/>
            </w:tcBorders>
            <w:shd w:val="clear" w:color="auto" w:fill="auto"/>
            <w:noWrap/>
            <w:vAlign w:val="bottom"/>
            <w:hideMark/>
          </w:tcPr>
          <w:p w:rsidR="00223200" w:rsidRPr="00223200" w:rsidRDefault="00223200" w:rsidP="00223200">
            <w:pPr>
              <w:spacing w:after="0" w:line="240" w:lineRule="auto"/>
              <w:jc w:val="right"/>
              <w:rPr>
                <w:rFonts w:ascii="Arial" w:eastAsia="Times New Roman" w:hAnsi="Arial" w:cs="Arial"/>
                <w:sz w:val="20"/>
                <w:szCs w:val="20"/>
                <w:lang w:eastAsia="fr-FR"/>
              </w:rPr>
            </w:pPr>
            <w:r w:rsidRPr="00223200">
              <w:rPr>
                <w:rFonts w:ascii="Arial" w:eastAsia="Times New Roman" w:hAnsi="Arial" w:cs="Arial"/>
                <w:sz w:val="20"/>
                <w:szCs w:val="20"/>
                <w:lang w:eastAsia="fr-FR"/>
              </w:rPr>
              <w:t>444 000</w:t>
            </w:r>
          </w:p>
        </w:tc>
      </w:tr>
      <w:tr w:rsidR="00223200" w:rsidRPr="00223200" w:rsidTr="00BD13CD">
        <w:trPr>
          <w:trHeight w:val="315"/>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223200" w:rsidRPr="00223200" w:rsidRDefault="00223200" w:rsidP="00223200">
            <w:pPr>
              <w:spacing w:after="0" w:line="240" w:lineRule="auto"/>
              <w:jc w:val="right"/>
              <w:rPr>
                <w:rFonts w:ascii="Arial" w:eastAsia="Times New Roman" w:hAnsi="Arial" w:cs="Arial"/>
                <w:sz w:val="20"/>
                <w:szCs w:val="20"/>
                <w:lang w:eastAsia="fr-FR"/>
              </w:rPr>
            </w:pPr>
            <w:proofErr w:type="spellStart"/>
            <w:r w:rsidRPr="00223200">
              <w:rPr>
                <w:rFonts w:ascii="Arial" w:eastAsia="Times New Roman" w:hAnsi="Arial" w:cs="Arial"/>
                <w:sz w:val="20"/>
                <w:szCs w:val="20"/>
                <w:lang w:eastAsia="fr-FR"/>
              </w:rPr>
              <w:t>Spanc</w:t>
            </w:r>
            <w:proofErr w:type="spellEnd"/>
            <w:r>
              <w:rPr>
                <w:rFonts w:ascii="Arial" w:eastAsia="Times New Roman" w:hAnsi="Arial" w:cs="Arial"/>
                <w:sz w:val="20"/>
                <w:szCs w:val="20"/>
                <w:lang w:eastAsia="fr-FR"/>
              </w:rPr>
              <w:t xml:space="preserve"> (participation politique contrôle qualité des eaux)</w:t>
            </w:r>
          </w:p>
        </w:tc>
        <w:tc>
          <w:tcPr>
            <w:tcW w:w="1843" w:type="dxa"/>
            <w:tcBorders>
              <w:top w:val="nil"/>
              <w:left w:val="nil"/>
              <w:bottom w:val="single" w:sz="4" w:space="0" w:color="auto"/>
              <w:right w:val="single" w:sz="4" w:space="0" w:color="auto"/>
            </w:tcBorders>
            <w:shd w:val="clear" w:color="auto" w:fill="auto"/>
            <w:noWrap/>
            <w:vAlign w:val="bottom"/>
            <w:hideMark/>
          </w:tcPr>
          <w:p w:rsidR="00223200" w:rsidRPr="00223200" w:rsidRDefault="00223200" w:rsidP="00223200">
            <w:pPr>
              <w:spacing w:after="0" w:line="240" w:lineRule="auto"/>
              <w:jc w:val="right"/>
              <w:rPr>
                <w:rFonts w:ascii="Arial" w:eastAsia="Times New Roman" w:hAnsi="Arial" w:cs="Arial"/>
                <w:sz w:val="20"/>
                <w:szCs w:val="20"/>
                <w:lang w:eastAsia="fr-FR"/>
              </w:rPr>
            </w:pPr>
            <w:r w:rsidRPr="00223200">
              <w:rPr>
                <w:rFonts w:ascii="Arial" w:eastAsia="Times New Roman" w:hAnsi="Arial" w:cs="Arial"/>
                <w:sz w:val="20"/>
                <w:szCs w:val="20"/>
                <w:lang w:eastAsia="fr-FR"/>
              </w:rPr>
              <w:t>15000</w:t>
            </w:r>
          </w:p>
        </w:tc>
      </w:tr>
      <w:tr w:rsidR="00223200" w:rsidRPr="00223200" w:rsidTr="00BD13CD">
        <w:trPr>
          <w:trHeight w:val="315"/>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223200" w:rsidRPr="00223200" w:rsidRDefault="00223200" w:rsidP="00223200">
            <w:pPr>
              <w:spacing w:after="0" w:line="240" w:lineRule="auto"/>
              <w:jc w:val="right"/>
              <w:rPr>
                <w:rFonts w:ascii="Arial" w:eastAsia="Times New Roman" w:hAnsi="Arial" w:cs="Arial"/>
                <w:sz w:val="20"/>
                <w:szCs w:val="20"/>
                <w:lang w:eastAsia="fr-FR"/>
              </w:rPr>
            </w:pPr>
            <w:r w:rsidRPr="00223200">
              <w:rPr>
                <w:rFonts w:ascii="Arial" w:eastAsia="Times New Roman" w:hAnsi="Arial" w:cs="Arial"/>
                <w:sz w:val="20"/>
                <w:szCs w:val="20"/>
                <w:lang w:eastAsia="fr-FR"/>
              </w:rPr>
              <w:t>NPI</w:t>
            </w:r>
          </w:p>
        </w:tc>
        <w:tc>
          <w:tcPr>
            <w:tcW w:w="1843" w:type="dxa"/>
            <w:tcBorders>
              <w:top w:val="nil"/>
              <w:left w:val="nil"/>
              <w:bottom w:val="single" w:sz="4" w:space="0" w:color="auto"/>
              <w:right w:val="single" w:sz="4" w:space="0" w:color="auto"/>
            </w:tcBorders>
            <w:shd w:val="clear" w:color="auto" w:fill="auto"/>
            <w:noWrap/>
            <w:vAlign w:val="bottom"/>
            <w:hideMark/>
          </w:tcPr>
          <w:p w:rsidR="00223200" w:rsidRPr="00223200" w:rsidRDefault="00223200" w:rsidP="00223200">
            <w:pPr>
              <w:spacing w:after="0" w:line="240" w:lineRule="auto"/>
              <w:jc w:val="right"/>
              <w:rPr>
                <w:rFonts w:ascii="Arial" w:eastAsia="Times New Roman" w:hAnsi="Arial" w:cs="Arial"/>
                <w:sz w:val="20"/>
                <w:szCs w:val="20"/>
                <w:lang w:eastAsia="fr-FR"/>
              </w:rPr>
            </w:pPr>
            <w:r w:rsidRPr="00223200">
              <w:rPr>
                <w:rFonts w:ascii="Arial" w:eastAsia="Times New Roman" w:hAnsi="Arial" w:cs="Arial"/>
                <w:sz w:val="20"/>
                <w:szCs w:val="20"/>
                <w:lang w:eastAsia="fr-FR"/>
              </w:rPr>
              <w:t>205 000</w:t>
            </w:r>
          </w:p>
        </w:tc>
      </w:tr>
      <w:tr w:rsidR="00223200" w:rsidRPr="00223200" w:rsidTr="00BD13CD">
        <w:trPr>
          <w:trHeight w:val="255"/>
          <w:jc w:val="center"/>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223200" w:rsidRPr="00223200" w:rsidRDefault="00223200" w:rsidP="00223200">
            <w:pPr>
              <w:spacing w:after="0" w:line="240" w:lineRule="auto"/>
              <w:rPr>
                <w:rFonts w:ascii="Arial" w:eastAsia="Times New Roman" w:hAnsi="Arial" w:cs="Arial"/>
                <w:sz w:val="20"/>
                <w:szCs w:val="20"/>
                <w:lang w:eastAsia="fr-FR"/>
              </w:rPr>
            </w:pPr>
            <w:r w:rsidRPr="00223200">
              <w:rPr>
                <w:rFonts w:ascii="Arial" w:eastAsia="Times New Roman" w:hAnsi="Arial" w:cs="Arial"/>
                <w:sz w:val="20"/>
                <w:szCs w:val="20"/>
                <w:lang w:eastAsia="fr-FR"/>
              </w:rPr>
              <w:t>Total (sub</w:t>
            </w:r>
            <w:r>
              <w:rPr>
                <w:rFonts w:ascii="Arial" w:eastAsia="Times New Roman" w:hAnsi="Arial" w:cs="Arial"/>
                <w:sz w:val="20"/>
                <w:szCs w:val="20"/>
                <w:lang w:eastAsia="fr-FR"/>
              </w:rPr>
              <w:t>vention</w:t>
            </w:r>
            <w:r w:rsidRPr="00223200">
              <w:rPr>
                <w:rFonts w:ascii="Arial" w:eastAsia="Times New Roman" w:hAnsi="Arial" w:cs="Arial"/>
                <w:sz w:val="20"/>
                <w:szCs w:val="20"/>
                <w:lang w:eastAsia="fr-FR"/>
              </w:rPr>
              <w:t xml:space="preserve"> équi</w:t>
            </w:r>
            <w:r>
              <w:rPr>
                <w:rFonts w:ascii="Arial" w:eastAsia="Times New Roman" w:hAnsi="Arial" w:cs="Arial"/>
                <w:sz w:val="20"/>
                <w:szCs w:val="20"/>
                <w:lang w:eastAsia="fr-FR"/>
              </w:rPr>
              <w:t>libre</w:t>
            </w:r>
            <w:r w:rsidRPr="00223200">
              <w:rPr>
                <w:rFonts w:ascii="Arial" w:eastAsia="Times New Roman" w:hAnsi="Arial" w:cs="Arial"/>
                <w:sz w:val="20"/>
                <w:szCs w:val="20"/>
                <w:lang w:eastAsia="fr-FR"/>
              </w:rPr>
              <w:t xml:space="preserve"> + A</w:t>
            </w:r>
            <w:r>
              <w:rPr>
                <w:rFonts w:ascii="Arial" w:eastAsia="Times New Roman" w:hAnsi="Arial" w:cs="Arial"/>
                <w:sz w:val="20"/>
                <w:szCs w:val="20"/>
                <w:lang w:eastAsia="fr-FR"/>
              </w:rPr>
              <w:t xml:space="preserve">ttribution </w:t>
            </w:r>
            <w:r w:rsidRPr="00223200">
              <w:rPr>
                <w:rFonts w:ascii="Arial" w:eastAsia="Times New Roman" w:hAnsi="Arial" w:cs="Arial"/>
                <w:sz w:val="20"/>
                <w:szCs w:val="20"/>
                <w:lang w:eastAsia="fr-FR"/>
              </w:rPr>
              <w:t>C</w:t>
            </w:r>
            <w:r>
              <w:rPr>
                <w:rFonts w:ascii="Arial" w:eastAsia="Times New Roman" w:hAnsi="Arial" w:cs="Arial"/>
                <w:sz w:val="20"/>
                <w:szCs w:val="20"/>
                <w:lang w:eastAsia="fr-FR"/>
              </w:rPr>
              <w:t>ompensation SPIC</w:t>
            </w:r>
            <w:r w:rsidRPr="00223200">
              <w:rPr>
                <w:rFonts w:ascii="Arial" w:eastAsia="Times New Roman" w:hAnsi="Arial" w:cs="Arial"/>
                <w:sz w:val="20"/>
                <w:szCs w:val="20"/>
                <w:lang w:eastAsia="fr-FR"/>
              </w:rPr>
              <w:t>)</w:t>
            </w:r>
          </w:p>
        </w:tc>
        <w:tc>
          <w:tcPr>
            <w:tcW w:w="1843" w:type="dxa"/>
            <w:tcBorders>
              <w:top w:val="nil"/>
              <w:left w:val="nil"/>
              <w:bottom w:val="single" w:sz="4" w:space="0" w:color="auto"/>
              <w:right w:val="single" w:sz="4" w:space="0" w:color="auto"/>
            </w:tcBorders>
            <w:shd w:val="clear" w:color="auto" w:fill="auto"/>
            <w:noWrap/>
            <w:vAlign w:val="bottom"/>
            <w:hideMark/>
          </w:tcPr>
          <w:p w:rsidR="00223200" w:rsidRPr="00223200" w:rsidRDefault="00223200" w:rsidP="00223200">
            <w:pPr>
              <w:spacing w:after="0" w:line="240" w:lineRule="auto"/>
              <w:jc w:val="right"/>
              <w:rPr>
                <w:rFonts w:ascii="Arial" w:eastAsia="Times New Roman" w:hAnsi="Arial" w:cs="Arial"/>
                <w:sz w:val="20"/>
                <w:szCs w:val="20"/>
                <w:lang w:eastAsia="fr-FR"/>
              </w:rPr>
            </w:pPr>
            <w:r w:rsidRPr="00223200">
              <w:rPr>
                <w:rFonts w:ascii="Arial" w:eastAsia="Times New Roman" w:hAnsi="Arial" w:cs="Arial"/>
                <w:sz w:val="20"/>
                <w:szCs w:val="20"/>
                <w:lang w:eastAsia="fr-FR"/>
              </w:rPr>
              <w:t>664000</w:t>
            </w:r>
          </w:p>
        </w:tc>
      </w:tr>
    </w:tbl>
    <w:p w:rsidR="00223200" w:rsidRDefault="00223200" w:rsidP="005577FF">
      <w:pPr>
        <w:jc w:val="both"/>
      </w:pPr>
    </w:p>
    <w:p w:rsidR="00BD13CD" w:rsidRPr="00BD13CD" w:rsidRDefault="00BD13CD" w:rsidP="005577FF">
      <w:pPr>
        <w:jc w:val="both"/>
        <w:rPr>
          <w:b/>
        </w:rPr>
      </w:pPr>
      <w:r w:rsidRPr="00BD13CD">
        <w:rPr>
          <w:b/>
        </w:rPr>
        <w:t>Participation dans divers organismes</w:t>
      </w:r>
    </w:p>
    <w:p w:rsidR="00794C68" w:rsidRDefault="00E30D1A" w:rsidP="00BD13CD">
      <w:pPr>
        <w:jc w:val="center"/>
      </w:pPr>
      <w:r w:rsidRPr="00E30D1A">
        <w:rPr>
          <w:noProof/>
          <w:lang w:eastAsia="fr-FR"/>
        </w:rPr>
        <w:drawing>
          <wp:inline distT="0" distB="0" distL="0" distR="0">
            <wp:extent cx="4664368" cy="3797845"/>
            <wp:effectExtent l="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9146" cy="3801736"/>
                    </a:xfrm>
                    <a:prstGeom prst="rect">
                      <a:avLst/>
                    </a:prstGeom>
                    <a:noFill/>
                    <a:ln>
                      <a:noFill/>
                    </a:ln>
                  </pic:spPr>
                </pic:pic>
              </a:graphicData>
            </a:graphic>
          </wp:inline>
        </w:drawing>
      </w:r>
    </w:p>
    <w:p w:rsidR="00D6785D" w:rsidRDefault="00D6785D" w:rsidP="00D2213C">
      <w:pPr>
        <w:jc w:val="both"/>
      </w:pPr>
    </w:p>
    <w:p w:rsidR="006400EF" w:rsidRDefault="006400EF" w:rsidP="00D2213C">
      <w:pPr>
        <w:jc w:val="both"/>
      </w:pPr>
    </w:p>
    <w:p w:rsidR="006400EF" w:rsidRDefault="006400EF" w:rsidP="00D2213C">
      <w:pPr>
        <w:jc w:val="both"/>
      </w:pPr>
    </w:p>
    <w:p w:rsidR="00BD13CD" w:rsidRPr="00BD13CD" w:rsidRDefault="00BD13CD" w:rsidP="00D2213C">
      <w:pPr>
        <w:jc w:val="both"/>
        <w:rPr>
          <w:b/>
        </w:rPr>
      </w:pPr>
      <w:r w:rsidRPr="00BD13CD">
        <w:rPr>
          <w:b/>
        </w:rPr>
        <w:t>Subventions</w:t>
      </w:r>
    </w:p>
    <w:p w:rsidR="00C87CB9" w:rsidRDefault="00C87CB9" w:rsidP="00D2213C">
      <w:pPr>
        <w:jc w:val="both"/>
      </w:pPr>
      <w:r>
        <w:t>Le poste subventions est en évolution sensible par rapport à 2023 en raison essentiellement de nouvelles actions : tour de Bretagne à vélo, subvention pour l’achat de récupérateurs d’eau, soutien à l’association Ailes, inscription d’une provision (11 K€). Par rapport au budget 2023, il est aussi à noter des modifications d’imputations budgétaires.</w:t>
      </w:r>
    </w:p>
    <w:p w:rsidR="00D6785D" w:rsidRDefault="00C87CB9" w:rsidP="00D2213C">
      <w:pPr>
        <w:jc w:val="both"/>
      </w:pPr>
      <w:r w:rsidRPr="00C87CB9">
        <w:rPr>
          <w:noProof/>
          <w:lang w:eastAsia="fr-FR"/>
        </w:rPr>
        <w:drawing>
          <wp:inline distT="0" distB="0" distL="0" distR="0">
            <wp:extent cx="5760720" cy="5344443"/>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344443"/>
                    </a:xfrm>
                    <a:prstGeom prst="rect">
                      <a:avLst/>
                    </a:prstGeom>
                    <a:noFill/>
                    <a:ln>
                      <a:noFill/>
                    </a:ln>
                  </pic:spPr>
                </pic:pic>
              </a:graphicData>
            </a:graphic>
          </wp:inline>
        </w:drawing>
      </w:r>
    </w:p>
    <w:p w:rsidR="00D6785D" w:rsidRDefault="00D6785D" w:rsidP="00D2213C">
      <w:pPr>
        <w:jc w:val="both"/>
      </w:pPr>
    </w:p>
    <w:p w:rsidR="00D6785D" w:rsidRPr="005577FF" w:rsidRDefault="00D6785D" w:rsidP="005577FF">
      <w:pPr>
        <w:pBdr>
          <w:top w:val="single" w:sz="4" w:space="1" w:color="auto"/>
          <w:left w:val="single" w:sz="4" w:space="4" w:color="auto"/>
          <w:bottom w:val="single" w:sz="4" w:space="1" w:color="auto"/>
          <w:right w:val="single" w:sz="4" w:space="4" w:color="auto"/>
        </w:pBdr>
        <w:shd w:val="clear" w:color="auto" w:fill="F7CAAC" w:themeFill="accent2" w:themeFillTint="66"/>
        <w:jc w:val="both"/>
        <w:rPr>
          <w:b/>
          <w:sz w:val="40"/>
        </w:rPr>
      </w:pPr>
      <w:r w:rsidRPr="005577FF">
        <w:rPr>
          <w:b/>
          <w:sz w:val="40"/>
        </w:rPr>
        <w:t>RECETTES DE FONCTIONNEMENT</w:t>
      </w:r>
    </w:p>
    <w:p w:rsidR="00D6785D" w:rsidRPr="005577FF" w:rsidRDefault="00D6785D" w:rsidP="00D2213C">
      <w:pPr>
        <w:jc w:val="both"/>
        <w:rPr>
          <w:sz w:val="24"/>
        </w:rPr>
      </w:pPr>
    </w:p>
    <w:p w:rsidR="00714902" w:rsidRPr="005577FF" w:rsidRDefault="005577FF" w:rsidP="00D2213C">
      <w:pPr>
        <w:jc w:val="both"/>
        <w:rPr>
          <w:sz w:val="24"/>
        </w:rPr>
      </w:pPr>
      <w:r>
        <w:rPr>
          <w:sz w:val="24"/>
        </w:rPr>
        <w:t xml:space="preserve">La prévision des </w:t>
      </w:r>
      <w:r w:rsidRPr="005577FF">
        <w:rPr>
          <w:sz w:val="24"/>
        </w:rPr>
        <w:t xml:space="preserve">chapitres </w:t>
      </w:r>
      <w:r>
        <w:rPr>
          <w:sz w:val="24"/>
        </w:rPr>
        <w:t>« produits de service » et « dotations et participations » se caractérise par une certaine stabilité par rapport au résultat 2023. En volume, ils progressent (en cumulé) de 1.77% lorsque le taux d’inflation prévisionnel pour 2024 est de 2.5%.</w:t>
      </w:r>
    </w:p>
    <w:p w:rsidR="00714902" w:rsidRDefault="005577FF" w:rsidP="00D2213C">
      <w:pPr>
        <w:jc w:val="both"/>
        <w:rPr>
          <w:sz w:val="40"/>
        </w:rPr>
      </w:pPr>
      <w:r w:rsidRPr="005577FF">
        <w:rPr>
          <w:noProof/>
          <w:lang w:eastAsia="fr-FR"/>
        </w:rPr>
        <w:drawing>
          <wp:inline distT="0" distB="0" distL="0" distR="0">
            <wp:extent cx="5760720" cy="923924"/>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923924"/>
                    </a:xfrm>
                    <a:prstGeom prst="rect">
                      <a:avLst/>
                    </a:prstGeom>
                    <a:noFill/>
                    <a:ln>
                      <a:noFill/>
                    </a:ln>
                  </pic:spPr>
                </pic:pic>
              </a:graphicData>
            </a:graphic>
          </wp:inline>
        </w:drawing>
      </w:r>
    </w:p>
    <w:p w:rsidR="008336AB" w:rsidRDefault="008336AB" w:rsidP="00D2213C">
      <w:pPr>
        <w:jc w:val="both"/>
        <w:rPr>
          <w:sz w:val="40"/>
        </w:rPr>
      </w:pPr>
    </w:p>
    <w:p w:rsidR="00D2213C" w:rsidRPr="00643A11" w:rsidRDefault="004326AE" w:rsidP="004326AE">
      <w:pPr>
        <w:shd w:val="clear" w:color="auto" w:fill="FBE4D5" w:themeFill="accent2" w:themeFillTint="33"/>
        <w:rPr>
          <w:b/>
          <w:sz w:val="24"/>
        </w:rPr>
      </w:pPr>
      <w:r w:rsidRPr="00643A11">
        <w:rPr>
          <w:b/>
          <w:sz w:val="24"/>
        </w:rPr>
        <w:t>PRODUITS DES IMPOTS LOCAUX</w:t>
      </w:r>
    </w:p>
    <w:p w:rsidR="00835F37" w:rsidRPr="00835F37" w:rsidRDefault="00835F37" w:rsidP="00835F37">
      <w:pPr>
        <w:spacing w:before="100" w:beforeAutospacing="1" w:after="0" w:line="240" w:lineRule="auto"/>
        <w:jc w:val="both"/>
        <w:rPr>
          <w:rFonts w:ascii="Times New Roman" w:eastAsia="Times New Roman" w:hAnsi="Times New Roman" w:cs="Times New Roman"/>
          <w:sz w:val="24"/>
          <w:szCs w:val="24"/>
          <w:lang w:eastAsia="fr-FR"/>
        </w:rPr>
      </w:pPr>
      <w:r w:rsidRPr="00835F37">
        <w:rPr>
          <w:rFonts w:ascii="Times New Roman" w:eastAsia="Times New Roman" w:hAnsi="Times New Roman" w:cs="Times New Roman"/>
          <w:sz w:val="24"/>
          <w:szCs w:val="24"/>
          <w:lang w:eastAsia="fr-FR"/>
        </w:rPr>
        <w:t>Depuis l’exercice 2021, le produit perçu pour la taxe d’habitation sur les résidences principales est substitué par une fraction du produit net de la TVA nationale.</w:t>
      </w:r>
    </w:p>
    <w:p w:rsidR="00835F37" w:rsidRPr="00835F37" w:rsidRDefault="00835F37" w:rsidP="00835F37">
      <w:pPr>
        <w:spacing w:before="100" w:beforeAutospacing="1" w:after="0" w:line="240" w:lineRule="auto"/>
        <w:jc w:val="both"/>
        <w:rPr>
          <w:rFonts w:ascii="Times New Roman" w:eastAsia="Times New Roman" w:hAnsi="Times New Roman" w:cs="Times New Roman"/>
          <w:sz w:val="24"/>
          <w:szCs w:val="24"/>
          <w:lang w:eastAsia="fr-FR"/>
        </w:rPr>
      </w:pPr>
      <w:r w:rsidRPr="00835F37">
        <w:rPr>
          <w:rFonts w:ascii="Times New Roman" w:eastAsia="Times New Roman" w:hAnsi="Times New Roman" w:cs="Times New Roman"/>
          <w:sz w:val="24"/>
          <w:szCs w:val="24"/>
          <w:lang w:eastAsia="fr-FR"/>
        </w:rPr>
        <w:t>Le rapport d’orientations budgétaires présenté en février a été construit sur les données de la Loi de Finances pour 2024 qui était fondée sur une prévision de croissance de 1.4% Cette prévision vient d’être abaissée par le Gouvernement à 1% tandis que le consensus économique l’évalue à 0.8%.</w:t>
      </w:r>
    </w:p>
    <w:p w:rsidR="00835F37" w:rsidRPr="00835F37" w:rsidRDefault="00835F37" w:rsidP="00835F37">
      <w:pPr>
        <w:spacing w:before="100" w:beforeAutospacing="1" w:after="0" w:line="240" w:lineRule="auto"/>
        <w:jc w:val="both"/>
        <w:rPr>
          <w:rFonts w:ascii="Times New Roman" w:eastAsia="Times New Roman" w:hAnsi="Times New Roman" w:cs="Times New Roman"/>
          <w:sz w:val="24"/>
          <w:szCs w:val="24"/>
          <w:lang w:eastAsia="fr-FR"/>
        </w:rPr>
      </w:pPr>
      <w:r w:rsidRPr="00835F37">
        <w:rPr>
          <w:rFonts w:ascii="Times New Roman" w:eastAsia="Times New Roman" w:hAnsi="Times New Roman" w:cs="Times New Roman"/>
          <w:sz w:val="24"/>
          <w:szCs w:val="24"/>
          <w:lang w:eastAsia="fr-FR"/>
        </w:rPr>
        <w:t>Cela n’est pas sans conséquence sur le niveau de compensation par la TVA pour la fraction TH et la fraction CVAE d’autre part. Il est raisonnable de revoir l’évolution de la compensation sur ces bases comme suit par rapport au ROB :</w:t>
      </w:r>
    </w:p>
    <w:p w:rsidR="00835F37" w:rsidRPr="00835F37" w:rsidRDefault="00835F37" w:rsidP="00835F37">
      <w:pPr>
        <w:spacing w:before="100" w:beforeAutospacing="1" w:after="0" w:line="240" w:lineRule="auto"/>
        <w:jc w:val="both"/>
        <w:rPr>
          <w:rFonts w:ascii="Times New Roman" w:eastAsia="Times New Roman" w:hAnsi="Times New Roman" w:cs="Times New Roman"/>
          <w:sz w:val="24"/>
          <w:szCs w:val="24"/>
          <w:lang w:eastAsia="fr-FR"/>
        </w:rPr>
      </w:pPr>
      <w:r w:rsidRPr="00835F37">
        <w:rPr>
          <w:rFonts w:ascii="Times New Roman" w:eastAsia="Times New Roman" w:hAnsi="Times New Roman" w:cs="Times New Roman"/>
          <w:sz w:val="24"/>
          <w:szCs w:val="24"/>
          <w:lang w:eastAsia="fr-FR"/>
        </w:rPr>
        <w:t>- 188 K€ pour la compensation TH</w:t>
      </w:r>
    </w:p>
    <w:p w:rsidR="00835F37" w:rsidRPr="00835F37" w:rsidRDefault="00835F37" w:rsidP="00835F37">
      <w:pPr>
        <w:spacing w:before="100" w:beforeAutospacing="1" w:after="0" w:line="240" w:lineRule="auto"/>
        <w:jc w:val="both"/>
        <w:rPr>
          <w:rFonts w:ascii="Times New Roman" w:eastAsia="Times New Roman" w:hAnsi="Times New Roman" w:cs="Times New Roman"/>
          <w:sz w:val="24"/>
          <w:szCs w:val="24"/>
          <w:lang w:eastAsia="fr-FR"/>
        </w:rPr>
      </w:pPr>
      <w:r w:rsidRPr="00835F37">
        <w:rPr>
          <w:rFonts w:ascii="Times New Roman" w:eastAsia="Times New Roman" w:hAnsi="Times New Roman" w:cs="Times New Roman"/>
          <w:sz w:val="24"/>
          <w:szCs w:val="24"/>
          <w:lang w:eastAsia="fr-FR"/>
        </w:rPr>
        <w:t>-  26 K€ pour la compensation CVAE</w:t>
      </w:r>
    </w:p>
    <w:p w:rsidR="00835F37" w:rsidRPr="00835F37" w:rsidRDefault="00835F37" w:rsidP="00835F37">
      <w:pPr>
        <w:spacing w:before="100" w:beforeAutospacing="1" w:after="0" w:line="240" w:lineRule="auto"/>
        <w:jc w:val="both"/>
        <w:rPr>
          <w:rFonts w:ascii="Times New Roman" w:eastAsia="Times New Roman" w:hAnsi="Times New Roman" w:cs="Times New Roman"/>
          <w:sz w:val="24"/>
          <w:szCs w:val="24"/>
          <w:lang w:eastAsia="fr-FR"/>
        </w:rPr>
      </w:pPr>
      <w:r w:rsidRPr="00835F37">
        <w:rPr>
          <w:rFonts w:ascii="Times New Roman" w:eastAsia="Times New Roman" w:hAnsi="Times New Roman" w:cs="Times New Roman"/>
          <w:sz w:val="24"/>
          <w:szCs w:val="24"/>
          <w:lang w:eastAsia="fr-FR"/>
        </w:rPr>
        <w:t>Soit – 214 K€ en moins par rapport au ROB.</w:t>
      </w:r>
    </w:p>
    <w:p w:rsidR="004326AE" w:rsidRDefault="00531DD6" w:rsidP="004326AE">
      <w:pPr>
        <w:spacing w:before="100" w:beforeAutospacing="1"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w:t>
      </w:r>
      <w:r w:rsidR="004326AE" w:rsidRPr="004326AE">
        <w:rPr>
          <w:rFonts w:ascii="Times New Roman" w:eastAsia="Times New Roman" w:hAnsi="Times New Roman" w:cs="Times New Roman"/>
          <w:sz w:val="24"/>
          <w:szCs w:val="24"/>
          <w:lang w:eastAsia="fr-FR"/>
        </w:rPr>
        <w:t xml:space="preserve">a Communauté a désormais la possibilité de faire varier les taux de taxe foncière, de cotisation foncière des entreprises et de taxe d’habitation sur les résidences secondaires. Pour la taxe d’habitation sur les résidences secondaires, le taux était gelé jusqu’en 2023. </w:t>
      </w:r>
    </w:p>
    <w:tbl>
      <w:tblPr>
        <w:tblW w:w="9067" w:type="dxa"/>
        <w:tblLayout w:type="fixed"/>
        <w:tblCellMar>
          <w:left w:w="70" w:type="dxa"/>
          <w:right w:w="70" w:type="dxa"/>
        </w:tblCellMar>
        <w:tblLook w:val="04A0" w:firstRow="1" w:lastRow="0" w:firstColumn="1" w:lastColumn="0" w:noHBand="0" w:noVBand="1"/>
      </w:tblPr>
      <w:tblGrid>
        <w:gridCol w:w="2689"/>
        <w:gridCol w:w="1842"/>
        <w:gridCol w:w="1276"/>
        <w:gridCol w:w="1701"/>
        <w:gridCol w:w="1559"/>
      </w:tblGrid>
      <w:tr w:rsidR="00BD13CD" w:rsidRPr="00BD13CD" w:rsidTr="00867FD0">
        <w:trPr>
          <w:trHeight w:val="765"/>
        </w:trPr>
        <w:tc>
          <w:tcPr>
            <w:tcW w:w="2689"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BD13CD" w:rsidRPr="00BD13CD" w:rsidRDefault="00BD13CD" w:rsidP="003D4E5E">
            <w:pPr>
              <w:spacing w:after="0" w:line="240" w:lineRule="auto"/>
              <w:jc w:val="center"/>
              <w:rPr>
                <w:rFonts w:ascii="Arial" w:eastAsia="Times New Roman" w:hAnsi="Arial" w:cs="Arial"/>
                <w:sz w:val="20"/>
                <w:szCs w:val="20"/>
                <w:lang w:eastAsia="fr-FR"/>
              </w:rPr>
            </w:pPr>
            <w:r w:rsidRPr="00BD13CD">
              <w:rPr>
                <w:rFonts w:ascii="Arial" w:eastAsia="Times New Roman" w:hAnsi="Arial" w:cs="Arial"/>
                <w:sz w:val="20"/>
                <w:szCs w:val="20"/>
                <w:lang w:eastAsia="fr-FR"/>
              </w:rPr>
              <w:t>Notifications état fiscal 1259</w:t>
            </w:r>
          </w:p>
        </w:tc>
        <w:tc>
          <w:tcPr>
            <w:tcW w:w="1842" w:type="dxa"/>
            <w:tcBorders>
              <w:top w:val="single" w:sz="4" w:space="0" w:color="auto"/>
              <w:left w:val="nil"/>
              <w:bottom w:val="single" w:sz="4" w:space="0" w:color="auto"/>
              <w:right w:val="single" w:sz="4" w:space="0" w:color="auto"/>
            </w:tcBorders>
            <w:shd w:val="clear" w:color="000000" w:fill="C6E0B4"/>
            <w:vAlign w:val="center"/>
            <w:hideMark/>
          </w:tcPr>
          <w:p w:rsidR="00BD13CD" w:rsidRPr="00BD13CD" w:rsidRDefault="00BD13CD" w:rsidP="003D4E5E">
            <w:pPr>
              <w:spacing w:after="0" w:line="240" w:lineRule="auto"/>
              <w:jc w:val="center"/>
              <w:rPr>
                <w:rFonts w:ascii="Arial" w:eastAsia="Times New Roman" w:hAnsi="Arial" w:cs="Arial"/>
                <w:sz w:val="20"/>
                <w:szCs w:val="20"/>
                <w:lang w:eastAsia="fr-FR"/>
              </w:rPr>
            </w:pPr>
            <w:r w:rsidRPr="00BD13CD">
              <w:rPr>
                <w:rFonts w:ascii="Arial" w:eastAsia="Times New Roman" w:hAnsi="Arial" w:cs="Arial"/>
                <w:sz w:val="20"/>
                <w:szCs w:val="20"/>
                <w:lang w:eastAsia="fr-FR"/>
              </w:rPr>
              <w:t xml:space="preserve"> Notifications</w:t>
            </w:r>
            <w:r w:rsidR="00867FD0">
              <w:rPr>
                <w:rFonts w:ascii="Arial" w:eastAsia="Times New Roman" w:hAnsi="Arial" w:cs="Arial"/>
                <w:sz w:val="20"/>
                <w:szCs w:val="20"/>
                <w:lang w:eastAsia="fr-FR"/>
              </w:rPr>
              <w:t xml:space="preserve"> </w:t>
            </w:r>
            <w:r w:rsidRPr="00BD13CD">
              <w:rPr>
                <w:rFonts w:ascii="Arial" w:eastAsia="Times New Roman" w:hAnsi="Arial" w:cs="Arial"/>
                <w:sz w:val="20"/>
                <w:szCs w:val="20"/>
                <w:lang w:eastAsia="fr-FR"/>
              </w:rPr>
              <w:t>2023</w:t>
            </w:r>
          </w:p>
        </w:tc>
        <w:tc>
          <w:tcPr>
            <w:tcW w:w="1276" w:type="dxa"/>
            <w:tcBorders>
              <w:top w:val="single" w:sz="4" w:space="0" w:color="auto"/>
              <w:left w:val="nil"/>
              <w:bottom w:val="single" w:sz="4" w:space="0" w:color="auto"/>
              <w:right w:val="single" w:sz="4" w:space="0" w:color="auto"/>
            </w:tcBorders>
            <w:shd w:val="clear" w:color="000000" w:fill="C6E0B4"/>
            <w:vAlign w:val="center"/>
            <w:hideMark/>
          </w:tcPr>
          <w:p w:rsidR="00BD13CD" w:rsidRPr="00BD13CD" w:rsidRDefault="00BD13CD" w:rsidP="003D4E5E">
            <w:pPr>
              <w:spacing w:after="0" w:line="240" w:lineRule="auto"/>
              <w:jc w:val="center"/>
              <w:rPr>
                <w:rFonts w:ascii="Arial" w:eastAsia="Times New Roman" w:hAnsi="Arial" w:cs="Arial"/>
                <w:sz w:val="20"/>
                <w:szCs w:val="20"/>
                <w:lang w:eastAsia="fr-FR"/>
              </w:rPr>
            </w:pPr>
            <w:r w:rsidRPr="00BD13CD">
              <w:rPr>
                <w:rFonts w:ascii="Arial" w:eastAsia="Times New Roman" w:hAnsi="Arial" w:cs="Arial"/>
                <w:sz w:val="20"/>
                <w:szCs w:val="20"/>
                <w:lang w:eastAsia="fr-FR"/>
              </w:rPr>
              <w:t>Réalisé 2023</w:t>
            </w:r>
          </w:p>
        </w:tc>
        <w:tc>
          <w:tcPr>
            <w:tcW w:w="1701" w:type="dxa"/>
            <w:tcBorders>
              <w:top w:val="single" w:sz="4" w:space="0" w:color="auto"/>
              <w:left w:val="nil"/>
              <w:bottom w:val="single" w:sz="4" w:space="0" w:color="auto"/>
              <w:right w:val="nil"/>
            </w:tcBorders>
            <w:shd w:val="clear" w:color="000000" w:fill="C6E0B4"/>
            <w:vAlign w:val="center"/>
            <w:hideMark/>
          </w:tcPr>
          <w:p w:rsidR="00BD13CD" w:rsidRPr="00BD13CD" w:rsidRDefault="00BD13CD" w:rsidP="003D4E5E">
            <w:pPr>
              <w:spacing w:after="0" w:line="240" w:lineRule="auto"/>
              <w:jc w:val="center"/>
              <w:rPr>
                <w:rFonts w:ascii="Arial" w:eastAsia="Times New Roman" w:hAnsi="Arial" w:cs="Arial"/>
                <w:sz w:val="20"/>
                <w:szCs w:val="20"/>
                <w:lang w:eastAsia="fr-FR"/>
              </w:rPr>
            </w:pPr>
            <w:r w:rsidRPr="00BD13CD">
              <w:rPr>
                <w:rFonts w:ascii="Arial" w:eastAsia="Times New Roman" w:hAnsi="Arial" w:cs="Arial"/>
                <w:sz w:val="20"/>
                <w:szCs w:val="20"/>
                <w:lang w:eastAsia="fr-FR"/>
              </w:rPr>
              <w:t>Notifications 2024</w:t>
            </w:r>
          </w:p>
        </w:tc>
        <w:tc>
          <w:tcPr>
            <w:tcW w:w="1559"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BD13CD" w:rsidRPr="00BD13CD" w:rsidRDefault="00BD13CD" w:rsidP="003D4E5E">
            <w:pPr>
              <w:spacing w:after="0" w:line="240" w:lineRule="auto"/>
              <w:jc w:val="center"/>
              <w:rPr>
                <w:rFonts w:ascii="Arial" w:eastAsia="Times New Roman" w:hAnsi="Arial" w:cs="Arial"/>
                <w:sz w:val="20"/>
                <w:szCs w:val="20"/>
                <w:lang w:eastAsia="fr-FR"/>
              </w:rPr>
            </w:pPr>
            <w:r w:rsidRPr="00BD13CD">
              <w:rPr>
                <w:rFonts w:ascii="Arial" w:eastAsia="Times New Roman" w:hAnsi="Arial" w:cs="Arial"/>
                <w:sz w:val="20"/>
                <w:szCs w:val="20"/>
                <w:lang w:eastAsia="fr-FR"/>
              </w:rPr>
              <w:t>Evolution % / Réalisé</w:t>
            </w:r>
          </w:p>
        </w:tc>
      </w:tr>
      <w:tr w:rsidR="00BD13CD" w:rsidRPr="00BD13CD" w:rsidTr="00867FD0">
        <w:trPr>
          <w:trHeight w:val="25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rPr>
                <w:rFonts w:ascii="Arial" w:eastAsia="Times New Roman" w:hAnsi="Arial" w:cs="Arial"/>
                <w:sz w:val="20"/>
                <w:szCs w:val="20"/>
                <w:lang w:eastAsia="fr-FR"/>
              </w:rPr>
            </w:pPr>
            <w:r w:rsidRPr="00BD13CD">
              <w:rPr>
                <w:rFonts w:ascii="Arial" w:eastAsia="Times New Roman" w:hAnsi="Arial" w:cs="Arial"/>
                <w:sz w:val="20"/>
                <w:szCs w:val="20"/>
                <w:lang w:eastAsia="fr-FR"/>
              </w:rPr>
              <w:t>IFER</w:t>
            </w:r>
          </w:p>
        </w:tc>
        <w:tc>
          <w:tcPr>
            <w:tcW w:w="1842" w:type="dxa"/>
            <w:tcBorders>
              <w:top w:val="nil"/>
              <w:left w:val="nil"/>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313 985</w:t>
            </w:r>
          </w:p>
        </w:tc>
        <w:tc>
          <w:tcPr>
            <w:tcW w:w="1276" w:type="dxa"/>
            <w:tcBorders>
              <w:top w:val="nil"/>
              <w:left w:val="nil"/>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337 134</w:t>
            </w:r>
          </w:p>
        </w:tc>
        <w:tc>
          <w:tcPr>
            <w:tcW w:w="1701" w:type="dxa"/>
            <w:tcBorders>
              <w:top w:val="nil"/>
              <w:left w:val="nil"/>
              <w:bottom w:val="single" w:sz="4" w:space="0" w:color="auto"/>
              <w:right w:val="nil"/>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345 562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jc w:val="center"/>
              <w:rPr>
                <w:rFonts w:ascii="Arial" w:eastAsia="Times New Roman" w:hAnsi="Arial" w:cs="Arial"/>
                <w:sz w:val="20"/>
                <w:szCs w:val="20"/>
                <w:lang w:eastAsia="fr-FR"/>
              </w:rPr>
            </w:pPr>
            <w:r w:rsidRPr="00BD13CD">
              <w:rPr>
                <w:rFonts w:ascii="Arial" w:eastAsia="Times New Roman" w:hAnsi="Arial" w:cs="Arial"/>
                <w:sz w:val="20"/>
                <w:szCs w:val="20"/>
                <w:lang w:eastAsia="fr-FR"/>
              </w:rPr>
              <w:t>2,50%</w:t>
            </w:r>
          </w:p>
        </w:tc>
      </w:tr>
      <w:tr w:rsidR="00BD13CD" w:rsidRPr="00BD13CD" w:rsidTr="00867FD0">
        <w:trPr>
          <w:trHeight w:val="25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rPr>
                <w:rFonts w:ascii="Arial" w:eastAsia="Times New Roman" w:hAnsi="Arial" w:cs="Arial"/>
                <w:sz w:val="20"/>
                <w:szCs w:val="20"/>
                <w:lang w:eastAsia="fr-FR"/>
              </w:rPr>
            </w:pPr>
            <w:r w:rsidRPr="00BD13CD">
              <w:rPr>
                <w:rFonts w:ascii="Arial" w:eastAsia="Times New Roman" w:hAnsi="Arial" w:cs="Arial"/>
                <w:sz w:val="20"/>
                <w:szCs w:val="20"/>
                <w:lang w:eastAsia="fr-FR"/>
              </w:rPr>
              <w:t>TASCOM</w:t>
            </w:r>
          </w:p>
        </w:tc>
        <w:tc>
          <w:tcPr>
            <w:tcW w:w="1842" w:type="dxa"/>
            <w:tcBorders>
              <w:top w:val="nil"/>
              <w:left w:val="nil"/>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792 926</w:t>
            </w:r>
          </w:p>
        </w:tc>
        <w:tc>
          <w:tcPr>
            <w:tcW w:w="1276" w:type="dxa"/>
            <w:tcBorders>
              <w:top w:val="nil"/>
              <w:left w:val="nil"/>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852 273</w:t>
            </w:r>
          </w:p>
        </w:tc>
        <w:tc>
          <w:tcPr>
            <w:tcW w:w="1701" w:type="dxa"/>
            <w:tcBorders>
              <w:top w:val="nil"/>
              <w:left w:val="nil"/>
              <w:bottom w:val="single" w:sz="4" w:space="0" w:color="auto"/>
              <w:right w:val="nil"/>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876 445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jc w:val="center"/>
              <w:rPr>
                <w:rFonts w:ascii="Arial" w:eastAsia="Times New Roman" w:hAnsi="Arial" w:cs="Arial"/>
                <w:sz w:val="20"/>
                <w:szCs w:val="20"/>
                <w:lang w:eastAsia="fr-FR"/>
              </w:rPr>
            </w:pPr>
            <w:r w:rsidRPr="00BD13CD">
              <w:rPr>
                <w:rFonts w:ascii="Arial" w:eastAsia="Times New Roman" w:hAnsi="Arial" w:cs="Arial"/>
                <w:sz w:val="20"/>
                <w:szCs w:val="20"/>
                <w:lang w:eastAsia="fr-FR"/>
              </w:rPr>
              <w:t>2,84%</w:t>
            </w:r>
          </w:p>
        </w:tc>
      </w:tr>
      <w:tr w:rsidR="00BD13CD" w:rsidRPr="00BD13CD" w:rsidTr="00867FD0">
        <w:trPr>
          <w:trHeight w:val="25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rPr>
                <w:rFonts w:ascii="Arial" w:eastAsia="Times New Roman" w:hAnsi="Arial" w:cs="Arial"/>
                <w:sz w:val="20"/>
                <w:szCs w:val="20"/>
                <w:lang w:eastAsia="fr-FR"/>
              </w:rPr>
            </w:pPr>
            <w:r w:rsidRPr="00BD13CD">
              <w:rPr>
                <w:rFonts w:ascii="Arial" w:eastAsia="Times New Roman" w:hAnsi="Arial" w:cs="Arial"/>
                <w:sz w:val="20"/>
                <w:szCs w:val="20"/>
                <w:lang w:eastAsia="fr-FR"/>
              </w:rPr>
              <w:t>CFE</w:t>
            </w:r>
          </w:p>
        </w:tc>
        <w:tc>
          <w:tcPr>
            <w:tcW w:w="1842" w:type="dxa"/>
            <w:tcBorders>
              <w:top w:val="nil"/>
              <w:left w:val="nil"/>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1 587 425</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3 000 792</w:t>
            </w:r>
          </w:p>
        </w:tc>
        <w:tc>
          <w:tcPr>
            <w:tcW w:w="1701" w:type="dxa"/>
            <w:tcBorders>
              <w:top w:val="nil"/>
              <w:left w:val="nil"/>
              <w:bottom w:val="single" w:sz="4" w:space="0" w:color="auto"/>
              <w:right w:val="nil"/>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1 705 366</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13CD" w:rsidRPr="00BD13CD" w:rsidRDefault="00BD13CD" w:rsidP="003D4E5E">
            <w:pPr>
              <w:spacing w:after="0" w:line="240" w:lineRule="auto"/>
              <w:jc w:val="center"/>
              <w:rPr>
                <w:rFonts w:ascii="Arial" w:eastAsia="Times New Roman" w:hAnsi="Arial" w:cs="Arial"/>
                <w:sz w:val="20"/>
                <w:szCs w:val="20"/>
                <w:lang w:eastAsia="fr-FR"/>
              </w:rPr>
            </w:pPr>
            <w:r w:rsidRPr="00BD13CD">
              <w:rPr>
                <w:rFonts w:ascii="Arial" w:eastAsia="Times New Roman" w:hAnsi="Arial" w:cs="Arial"/>
                <w:sz w:val="20"/>
                <w:szCs w:val="20"/>
                <w:lang w:eastAsia="fr-FR"/>
              </w:rPr>
              <w:t>3,48%</w:t>
            </w:r>
          </w:p>
        </w:tc>
      </w:tr>
      <w:tr w:rsidR="00BD13CD" w:rsidRPr="00BD13CD" w:rsidTr="00867FD0">
        <w:trPr>
          <w:trHeight w:val="25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rPr>
                <w:rFonts w:ascii="Arial" w:eastAsia="Times New Roman" w:hAnsi="Arial" w:cs="Arial"/>
                <w:sz w:val="20"/>
                <w:szCs w:val="20"/>
                <w:lang w:eastAsia="fr-FR"/>
              </w:rPr>
            </w:pPr>
            <w:r w:rsidRPr="00BD13CD">
              <w:rPr>
                <w:rFonts w:ascii="Arial" w:eastAsia="Times New Roman" w:hAnsi="Arial" w:cs="Arial"/>
                <w:sz w:val="20"/>
                <w:szCs w:val="20"/>
                <w:lang w:eastAsia="fr-FR"/>
              </w:rPr>
              <w:t>TA FNB</w:t>
            </w:r>
          </w:p>
        </w:tc>
        <w:tc>
          <w:tcPr>
            <w:tcW w:w="1842" w:type="dxa"/>
            <w:tcBorders>
              <w:top w:val="nil"/>
              <w:left w:val="nil"/>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99 189</w:t>
            </w:r>
          </w:p>
        </w:tc>
        <w:tc>
          <w:tcPr>
            <w:tcW w:w="1276" w:type="dxa"/>
            <w:vMerge/>
            <w:tcBorders>
              <w:top w:val="nil"/>
              <w:left w:val="single" w:sz="4" w:space="0" w:color="auto"/>
              <w:bottom w:val="single" w:sz="4" w:space="0" w:color="000000"/>
              <w:right w:val="single" w:sz="4" w:space="0" w:color="auto"/>
            </w:tcBorders>
            <w:vAlign w:val="center"/>
            <w:hideMark/>
          </w:tcPr>
          <w:p w:rsidR="00BD13CD" w:rsidRPr="00BD13CD" w:rsidRDefault="00BD13CD" w:rsidP="003D4E5E">
            <w:pPr>
              <w:spacing w:after="0" w:line="240" w:lineRule="auto"/>
              <w:jc w:val="right"/>
              <w:rPr>
                <w:rFonts w:ascii="Arial" w:eastAsia="Times New Roman" w:hAnsi="Arial" w:cs="Arial"/>
                <w:sz w:val="20"/>
                <w:szCs w:val="20"/>
                <w:lang w:eastAsia="fr-FR"/>
              </w:rPr>
            </w:pPr>
          </w:p>
        </w:tc>
        <w:tc>
          <w:tcPr>
            <w:tcW w:w="1701" w:type="dxa"/>
            <w:tcBorders>
              <w:top w:val="nil"/>
              <w:left w:val="nil"/>
              <w:bottom w:val="single" w:sz="4" w:space="0" w:color="auto"/>
              <w:right w:val="nil"/>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99 804</w:t>
            </w:r>
          </w:p>
        </w:tc>
        <w:tc>
          <w:tcPr>
            <w:tcW w:w="1559" w:type="dxa"/>
            <w:vMerge/>
            <w:tcBorders>
              <w:top w:val="nil"/>
              <w:left w:val="single" w:sz="4" w:space="0" w:color="auto"/>
              <w:bottom w:val="single" w:sz="4" w:space="0" w:color="000000"/>
              <w:right w:val="single" w:sz="4" w:space="0" w:color="auto"/>
            </w:tcBorders>
            <w:vAlign w:val="center"/>
            <w:hideMark/>
          </w:tcPr>
          <w:p w:rsidR="00BD13CD" w:rsidRPr="00BD13CD" w:rsidRDefault="00BD13CD" w:rsidP="003D4E5E">
            <w:pPr>
              <w:spacing w:after="0" w:line="240" w:lineRule="auto"/>
              <w:jc w:val="center"/>
              <w:rPr>
                <w:rFonts w:ascii="Arial" w:eastAsia="Times New Roman" w:hAnsi="Arial" w:cs="Arial"/>
                <w:sz w:val="20"/>
                <w:szCs w:val="20"/>
                <w:lang w:eastAsia="fr-FR"/>
              </w:rPr>
            </w:pPr>
          </w:p>
        </w:tc>
      </w:tr>
      <w:tr w:rsidR="00BD13CD" w:rsidRPr="00BD13CD" w:rsidTr="00867FD0">
        <w:trPr>
          <w:trHeight w:val="25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rPr>
                <w:rFonts w:ascii="Arial" w:eastAsia="Times New Roman" w:hAnsi="Arial" w:cs="Arial"/>
                <w:sz w:val="20"/>
                <w:szCs w:val="20"/>
                <w:lang w:eastAsia="fr-FR"/>
              </w:rPr>
            </w:pPr>
            <w:r w:rsidRPr="00BD13CD">
              <w:rPr>
                <w:rFonts w:ascii="Arial" w:eastAsia="Times New Roman" w:hAnsi="Arial" w:cs="Arial"/>
                <w:sz w:val="20"/>
                <w:szCs w:val="20"/>
                <w:lang w:eastAsia="fr-FR"/>
              </w:rPr>
              <w:t>TH Additionnelle</w:t>
            </w:r>
          </w:p>
        </w:tc>
        <w:tc>
          <w:tcPr>
            <w:tcW w:w="1842" w:type="dxa"/>
            <w:tcBorders>
              <w:top w:val="nil"/>
              <w:left w:val="nil"/>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1 250 690</w:t>
            </w:r>
          </w:p>
        </w:tc>
        <w:tc>
          <w:tcPr>
            <w:tcW w:w="1276" w:type="dxa"/>
            <w:vMerge/>
            <w:tcBorders>
              <w:top w:val="nil"/>
              <w:left w:val="single" w:sz="4" w:space="0" w:color="auto"/>
              <w:bottom w:val="single" w:sz="4" w:space="0" w:color="000000"/>
              <w:right w:val="single" w:sz="4" w:space="0" w:color="auto"/>
            </w:tcBorders>
            <w:vAlign w:val="center"/>
            <w:hideMark/>
          </w:tcPr>
          <w:p w:rsidR="00BD13CD" w:rsidRPr="00BD13CD" w:rsidRDefault="00BD13CD" w:rsidP="003D4E5E">
            <w:pPr>
              <w:spacing w:after="0" w:line="240" w:lineRule="auto"/>
              <w:jc w:val="right"/>
              <w:rPr>
                <w:rFonts w:ascii="Arial" w:eastAsia="Times New Roman" w:hAnsi="Arial" w:cs="Arial"/>
                <w:sz w:val="20"/>
                <w:szCs w:val="20"/>
                <w:lang w:eastAsia="fr-FR"/>
              </w:rPr>
            </w:pPr>
          </w:p>
        </w:tc>
        <w:tc>
          <w:tcPr>
            <w:tcW w:w="1701" w:type="dxa"/>
            <w:tcBorders>
              <w:top w:val="nil"/>
              <w:left w:val="nil"/>
              <w:bottom w:val="single" w:sz="4" w:space="0" w:color="auto"/>
              <w:right w:val="nil"/>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1 252 249</w:t>
            </w:r>
          </w:p>
        </w:tc>
        <w:tc>
          <w:tcPr>
            <w:tcW w:w="1559" w:type="dxa"/>
            <w:vMerge/>
            <w:tcBorders>
              <w:top w:val="nil"/>
              <w:left w:val="single" w:sz="4" w:space="0" w:color="auto"/>
              <w:bottom w:val="single" w:sz="4" w:space="0" w:color="000000"/>
              <w:right w:val="single" w:sz="4" w:space="0" w:color="auto"/>
            </w:tcBorders>
            <w:vAlign w:val="center"/>
            <w:hideMark/>
          </w:tcPr>
          <w:p w:rsidR="00BD13CD" w:rsidRPr="00BD13CD" w:rsidRDefault="00BD13CD" w:rsidP="003D4E5E">
            <w:pPr>
              <w:spacing w:after="0" w:line="240" w:lineRule="auto"/>
              <w:jc w:val="center"/>
              <w:rPr>
                <w:rFonts w:ascii="Arial" w:eastAsia="Times New Roman" w:hAnsi="Arial" w:cs="Arial"/>
                <w:sz w:val="20"/>
                <w:szCs w:val="20"/>
                <w:lang w:eastAsia="fr-FR"/>
              </w:rPr>
            </w:pPr>
          </w:p>
        </w:tc>
      </w:tr>
      <w:tr w:rsidR="00BD13CD" w:rsidRPr="00BD13CD" w:rsidTr="00867FD0">
        <w:trPr>
          <w:trHeight w:val="25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rPr>
                <w:rFonts w:ascii="Arial" w:eastAsia="Times New Roman" w:hAnsi="Arial" w:cs="Arial"/>
                <w:sz w:val="20"/>
                <w:szCs w:val="20"/>
                <w:lang w:eastAsia="fr-FR"/>
              </w:rPr>
            </w:pPr>
            <w:r w:rsidRPr="00BD13CD">
              <w:rPr>
                <w:rFonts w:ascii="Arial" w:eastAsia="Times New Roman" w:hAnsi="Arial" w:cs="Arial"/>
                <w:sz w:val="20"/>
                <w:szCs w:val="20"/>
                <w:lang w:eastAsia="fr-FR"/>
              </w:rPr>
              <w:t>TFNBA</w:t>
            </w:r>
          </w:p>
        </w:tc>
        <w:tc>
          <w:tcPr>
            <w:tcW w:w="1842" w:type="dxa"/>
            <w:tcBorders>
              <w:top w:val="nil"/>
              <w:left w:val="nil"/>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46 200</w:t>
            </w:r>
          </w:p>
        </w:tc>
        <w:tc>
          <w:tcPr>
            <w:tcW w:w="1276" w:type="dxa"/>
            <w:vMerge/>
            <w:tcBorders>
              <w:top w:val="nil"/>
              <w:left w:val="single" w:sz="4" w:space="0" w:color="auto"/>
              <w:bottom w:val="single" w:sz="4" w:space="0" w:color="000000"/>
              <w:right w:val="single" w:sz="4" w:space="0" w:color="auto"/>
            </w:tcBorders>
            <w:vAlign w:val="center"/>
            <w:hideMark/>
          </w:tcPr>
          <w:p w:rsidR="00BD13CD" w:rsidRPr="00BD13CD" w:rsidRDefault="00BD13CD" w:rsidP="003D4E5E">
            <w:pPr>
              <w:spacing w:after="0" w:line="240" w:lineRule="auto"/>
              <w:jc w:val="right"/>
              <w:rPr>
                <w:rFonts w:ascii="Arial" w:eastAsia="Times New Roman" w:hAnsi="Arial" w:cs="Arial"/>
                <w:sz w:val="20"/>
                <w:szCs w:val="20"/>
                <w:lang w:eastAsia="fr-FR"/>
              </w:rPr>
            </w:pPr>
          </w:p>
        </w:tc>
        <w:tc>
          <w:tcPr>
            <w:tcW w:w="1701" w:type="dxa"/>
            <w:tcBorders>
              <w:top w:val="nil"/>
              <w:left w:val="nil"/>
              <w:bottom w:val="single" w:sz="4" w:space="0" w:color="auto"/>
              <w:right w:val="nil"/>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47 696</w:t>
            </w:r>
          </w:p>
        </w:tc>
        <w:tc>
          <w:tcPr>
            <w:tcW w:w="1559" w:type="dxa"/>
            <w:vMerge/>
            <w:tcBorders>
              <w:top w:val="nil"/>
              <w:left w:val="single" w:sz="4" w:space="0" w:color="auto"/>
              <w:bottom w:val="single" w:sz="4" w:space="0" w:color="000000"/>
              <w:right w:val="single" w:sz="4" w:space="0" w:color="auto"/>
            </w:tcBorders>
            <w:vAlign w:val="center"/>
            <w:hideMark/>
          </w:tcPr>
          <w:p w:rsidR="00BD13CD" w:rsidRPr="00BD13CD" w:rsidRDefault="00BD13CD" w:rsidP="003D4E5E">
            <w:pPr>
              <w:spacing w:after="0" w:line="240" w:lineRule="auto"/>
              <w:jc w:val="center"/>
              <w:rPr>
                <w:rFonts w:ascii="Arial" w:eastAsia="Times New Roman" w:hAnsi="Arial" w:cs="Arial"/>
                <w:sz w:val="20"/>
                <w:szCs w:val="20"/>
                <w:lang w:eastAsia="fr-FR"/>
              </w:rPr>
            </w:pPr>
          </w:p>
        </w:tc>
      </w:tr>
      <w:tr w:rsidR="00BD13CD" w:rsidRPr="00BD13CD" w:rsidTr="00867FD0">
        <w:trPr>
          <w:trHeight w:val="25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rPr>
                <w:rFonts w:ascii="Arial" w:eastAsia="Times New Roman" w:hAnsi="Arial" w:cs="Arial"/>
                <w:sz w:val="20"/>
                <w:szCs w:val="20"/>
                <w:lang w:eastAsia="fr-FR"/>
              </w:rPr>
            </w:pPr>
            <w:r w:rsidRPr="00BD13CD">
              <w:rPr>
                <w:rFonts w:ascii="Arial" w:eastAsia="Times New Roman" w:hAnsi="Arial" w:cs="Arial"/>
                <w:sz w:val="20"/>
                <w:szCs w:val="20"/>
                <w:lang w:eastAsia="fr-FR"/>
              </w:rPr>
              <w:t>Allocations compensatrices</w:t>
            </w:r>
          </w:p>
        </w:tc>
        <w:tc>
          <w:tcPr>
            <w:tcW w:w="1842" w:type="dxa"/>
            <w:tcBorders>
              <w:top w:val="nil"/>
              <w:left w:val="nil"/>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271 004</w:t>
            </w:r>
          </w:p>
        </w:tc>
        <w:tc>
          <w:tcPr>
            <w:tcW w:w="1276" w:type="dxa"/>
            <w:tcBorders>
              <w:top w:val="nil"/>
              <w:left w:val="nil"/>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271 004</w:t>
            </w:r>
          </w:p>
        </w:tc>
        <w:tc>
          <w:tcPr>
            <w:tcW w:w="1701" w:type="dxa"/>
            <w:tcBorders>
              <w:top w:val="nil"/>
              <w:left w:val="nil"/>
              <w:bottom w:val="single" w:sz="4" w:space="0" w:color="auto"/>
              <w:right w:val="nil"/>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289 270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jc w:val="center"/>
              <w:rPr>
                <w:rFonts w:ascii="Arial" w:eastAsia="Times New Roman" w:hAnsi="Arial" w:cs="Arial"/>
                <w:sz w:val="20"/>
                <w:szCs w:val="20"/>
                <w:lang w:eastAsia="fr-FR"/>
              </w:rPr>
            </w:pPr>
            <w:r w:rsidRPr="00BD13CD">
              <w:rPr>
                <w:rFonts w:ascii="Arial" w:eastAsia="Times New Roman" w:hAnsi="Arial" w:cs="Arial"/>
                <w:sz w:val="20"/>
                <w:szCs w:val="20"/>
                <w:lang w:eastAsia="fr-FR"/>
              </w:rPr>
              <w:t>6,74%</w:t>
            </w:r>
          </w:p>
        </w:tc>
      </w:tr>
      <w:tr w:rsidR="00BD13CD" w:rsidRPr="00BD13CD" w:rsidTr="00867FD0">
        <w:trPr>
          <w:trHeight w:val="255"/>
        </w:trPr>
        <w:tc>
          <w:tcPr>
            <w:tcW w:w="2689" w:type="dxa"/>
            <w:tcBorders>
              <w:top w:val="nil"/>
              <w:left w:val="single" w:sz="4" w:space="0" w:color="auto"/>
              <w:bottom w:val="single" w:sz="4" w:space="0" w:color="auto"/>
              <w:right w:val="single" w:sz="4" w:space="0" w:color="auto"/>
            </w:tcBorders>
            <w:shd w:val="clear" w:color="000000" w:fill="FFE699"/>
            <w:noWrap/>
            <w:vAlign w:val="bottom"/>
            <w:hideMark/>
          </w:tcPr>
          <w:p w:rsidR="00BD13CD" w:rsidRPr="00BD13CD" w:rsidRDefault="00BD13CD" w:rsidP="003D4E5E">
            <w:pPr>
              <w:spacing w:after="0" w:line="240" w:lineRule="auto"/>
              <w:rPr>
                <w:rFonts w:ascii="Arial" w:eastAsia="Times New Roman" w:hAnsi="Arial" w:cs="Arial"/>
                <w:sz w:val="20"/>
                <w:szCs w:val="20"/>
                <w:lang w:eastAsia="fr-FR"/>
              </w:rPr>
            </w:pPr>
            <w:r w:rsidRPr="00BD13CD">
              <w:rPr>
                <w:rFonts w:ascii="Arial" w:eastAsia="Times New Roman" w:hAnsi="Arial" w:cs="Arial"/>
                <w:sz w:val="20"/>
                <w:szCs w:val="20"/>
                <w:lang w:eastAsia="fr-FR"/>
              </w:rPr>
              <w:t>Total</w:t>
            </w:r>
          </w:p>
        </w:tc>
        <w:tc>
          <w:tcPr>
            <w:tcW w:w="1842" w:type="dxa"/>
            <w:tcBorders>
              <w:top w:val="nil"/>
              <w:left w:val="nil"/>
              <w:bottom w:val="single" w:sz="4" w:space="0" w:color="auto"/>
              <w:right w:val="single" w:sz="4" w:space="0" w:color="auto"/>
            </w:tcBorders>
            <w:shd w:val="clear" w:color="000000" w:fill="FFE699"/>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4 361 419</w:t>
            </w:r>
          </w:p>
        </w:tc>
        <w:tc>
          <w:tcPr>
            <w:tcW w:w="1276" w:type="dxa"/>
            <w:tcBorders>
              <w:top w:val="nil"/>
              <w:left w:val="nil"/>
              <w:bottom w:val="single" w:sz="4" w:space="0" w:color="auto"/>
              <w:right w:val="single" w:sz="4" w:space="0" w:color="auto"/>
            </w:tcBorders>
            <w:shd w:val="clear" w:color="000000" w:fill="FFE699"/>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4 461 203</w:t>
            </w:r>
          </w:p>
        </w:tc>
        <w:tc>
          <w:tcPr>
            <w:tcW w:w="1701" w:type="dxa"/>
            <w:tcBorders>
              <w:top w:val="nil"/>
              <w:left w:val="nil"/>
              <w:bottom w:val="single" w:sz="4" w:space="0" w:color="auto"/>
              <w:right w:val="single" w:sz="4" w:space="0" w:color="auto"/>
            </w:tcBorders>
            <w:shd w:val="clear" w:color="000000" w:fill="FFE699"/>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4 616 392</w:t>
            </w:r>
          </w:p>
        </w:tc>
        <w:tc>
          <w:tcPr>
            <w:tcW w:w="1559" w:type="dxa"/>
            <w:tcBorders>
              <w:top w:val="nil"/>
              <w:left w:val="nil"/>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jc w:val="center"/>
              <w:rPr>
                <w:rFonts w:ascii="Arial" w:eastAsia="Times New Roman" w:hAnsi="Arial" w:cs="Arial"/>
                <w:sz w:val="20"/>
                <w:szCs w:val="20"/>
                <w:lang w:eastAsia="fr-FR"/>
              </w:rPr>
            </w:pPr>
            <w:r w:rsidRPr="00BD13CD">
              <w:rPr>
                <w:rFonts w:ascii="Arial" w:eastAsia="Times New Roman" w:hAnsi="Arial" w:cs="Arial"/>
                <w:sz w:val="20"/>
                <w:szCs w:val="20"/>
                <w:lang w:eastAsia="fr-FR"/>
              </w:rPr>
              <w:t>- 80 K€/DOB</w:t>
            </w:r>
          </w:p>
        </w:tc>
      </w:tr>
      <w:tr w:rsidR="00BD13CD" w:rsidRPr="00BD13CD" w:rsidTr="00867FD0">
        <w:trPr>
          <w:trHeight w:val="25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rPr>
                <w:rFonts w:ascii="Arial" w:eastAsia="Times New Roman" w:hAnsi="Arial" w:cs="Arial"/>
                <w:sz w:val="20"/>
                <w:szCs w:val="20"/>
                <w:lang w:eastAsia="fr-FR"/>
              </w:rPr>
            </w:pPr>
            <w:r w:rsidRPr="00BD13CD">
              <w:rPr>
                <w:rFonts w:ascii="Arial" w:eastAsia="Times New Roman" w:hAnsi="Arial" w:cs="Arial"/>
                <w:sz w:val="20"/>
                <w:szCs w:val="20"/>
                <w:lang w:eastAsia="fr-FR"/>
              </w:rPr>
              <w:t>Rôles supplémentaires</w:t>
            </w:r>
          </w:p>
        </w:tc>
        <w:tc>
          <w:tcPr>
            <w:tcW w:w="1842" w:type="dxa"/>
            <w:tcBorders>
              <w:top w:val="nil"/>
              <w:left w:val="nil"/>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rPr>
                <w:rFonts w:ascii="Arial" w:eastAsia="Times New Roman" w:hAnsi="Arial" w:cs="Arial"/>
                <w:sz w:val="20"/>
                <w:szCs w:val="20"/>
                <w:lang w:eastAsia="fr-FR"/>
              </w:rPr>
            </w:pPr>
            <w:r w:rsidRPr="00BD13CD">
              <w:rPr>
                <w:rFonts w:ascii="Arial" w:eastAsia="Times New Roman" w:hAnsi="Arial" w:cs="Arial"/>
                <w:sz w:val="20"/>
                <w:szCs w:val="20"/>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63 281</w:t>
            </w:r>
          </w:p>
        </w:tc>
        <w:tc>
          <w:tcPr>
            <w:tcW w:w="1701" w:type="dxa"/>
            <w:tcBorders>
              <w:top w:val="nil"/>
              <w:left w:val="nil"/>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rPr>
                <w:rFonts w:ascii="Arial" w:eastAsia="Times New Roman" w:hAnsi="Arial" w:cs="Arial"/>
                <w:sz w:val="20"/>
                <w:szCs w:val="20"/>
                <w:lang w:eastAsia="fr-FR"/>
              </w:rPr>
            </w:pPr>
            <w:r w:rsidRPr="00BD13CD">
              <w:rPr>
                <w:rFonts w:ascii="Arial" w:eastAsia="Times New Roman" w:hAnsi="Arial" w:cs="Arial"/>
                <w:sz w:val="20"/>
                <w:szCs w:val="20"/>
                <w:lang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BD13CD" w:rsidRPr="00BD13CD" w:rsidRDefault="00BD13CD" w:rsidP="003D4E5E">
            <w:pPr>
              <w:spacing w:after="0" w:line="240" w:lineRule="auto"/>
              <w:rPr>
                <w:rFonts w:ascii="Arial" w:eastAsia="Times New Roman" w:hAnsi="Arial" w:cs="Arial"/>
                <w:sz w:val="20"/>
                <w:szCs w:val="20"/>
                <w:lang w:eastAsia="fr-FR"/>
              </w:rPr>
            </w:pPr>
            <w:r w:rsidRPr="00BD13CD">
              <w:rPr>
                <w:rFonts w:ascii="Arial" w:eastAsia="Times New Roman" w:hAnsi="Arial" w:cs="Arial"/>
                <w:sz w:val="20"/>
                <w:szCs w:val="20"/>
                <w:lang w:eastAsia="fr-FR"/>
              </w:rPr>
              <w:t> </w:t>
            </w:r>
          </w:p>
        </w:tc>
      </w:tr>
      <w:tr w:rsidR="00BD13CD" w:rsidRPr="00BD13CD" w:rsidTr="00A76AEA">
        <w:trPr>
          <w:trHeight w:val="255"/>
        </w:trPr>
        <w:tc>
          <w:tcPr>
            <w:tcW w:w="2689" w:type="dxa"/>
            <w:tcBorders>
              <w:top w:val="nil"/>
              <w:left w:val="single" w:sz="4" w:space="0" w:color="auto"/>
              <w:bottom w:val="nil"/>
              <w:right w:val="single" w:sz="4" w:space="0" w:color="auto"/>
            </w:tcBorders>
            <w:shd w:val="clear" w:color="auto" w:fill="auto"/>
            <w:noWrap/>
            <w:vAlign w:val="bottom"/>
            <w:hideMark/>
          </w:tcPr>
          <w:p w:rsidR="00BD13CD" w:rsidRPr="00BD13CD" w:rsidRDefault="00BD13CD" w:rsidP="003D4E5E">
            <w:pPr>
              <w:spacing w:after="0" w:line="240" w:lineRule="auto"/>
              <w:rPr>
                <w:rFonts w:ascii="Arial" w:eastAsia="Times New Roman" w:hAnsi="Arial" w:cs="Arial"/>
                <w:sz w:val="20"/>
                <w:szCs w:val="20"/>
                <w:lang w:eastAsia="fr-FR"/>
              </w:rPr>
            </w:pPr>
            <w:r w:rsidRPr="00BD13CD">
              <w:rPr>
                <w:rFonts w:ascii="Arial" w:eastAsia="Times New Roman" w:hAnsi="Arial" w:cs="Arial"/>
                <w:sz w:val="20"/>
                <w:szCs w:val="20"/>
                <w:lang w:eastAsia="fr-FR"/>
              </w:rPr>
              <w:t>Total général</w:t>
            </w:r>
          </w:p>
        </w:tc>
        <w:tc>
          <w:tcPr>
            <w:tcW w:w="1842" w:type="dxa"/>
            <w:tcBorders>
              <w:top w:val="nil"/>
              <w:left w:val="nil"/>
              <w:bottom w:val="nil"/>
              <w:right w:val="single" w:sz="4" w:space="0" w:color="auto"/>
            </w:tcBorders>
            <w:shd w:val="clear" w:color="auto" w:fill="auto"/>
            <w:noWrap/>
            <w:vAlign w:val="bottom"/>
            <w:hideMark/>
          </w:tcPr>
          <w:p w:rsidR="00BD13CD" w:rsidRPr="00BD13CD" w:rsidRDefault="00BD13CD" w:rsidP="003D4E5E">
            <w:pPr>
              <w:spacing w:after="0" w:line="240" w:lineRule="auto"/>
              <w:rPr>
                <w:rFonts w:ascii="Arial" w:eastAsia="Times New Roman" w:hAnsi="Arial" w:cs="Arial"/>
                <w:sz w:val="20"/>
                <w:szCs w:val="20"/>
                <w:lang w:eastAsia="fr-FR"/>
              </w:rPr>
            </w:pPr>
            <w:r w:rsidRPr="00BD13CD">
              <w:rPr>
                <w:rFonts w:ascii="Arial" w:eastAsia="Times New Roman" w:hAnsi="Arial" w:cs="Arial"/>
                <w:sz w:val="20"/>
                <w:szCs w:val="20"/>
                <w:lang w:eastAsia="fr-FR"/>
              </w:rPr>
              <w:t> </w:t>
            </w:r>
          </w:p>
        </w:tc>
        <w:tc>
          <w:tcPr>
            <w:tcW w:w="1276" w:type="dxa"/>
            <w:tcBorders>
              <w:top w:val="nil"/>
              <w:left w:val="nil"/>
              <w:bottom w:val="nil"/>
              <w:right w:val="single" w:sz="4" w:space="0" w:color="auto"/>
            </w:tcBorders>
            <w:shd w:val="clear" w:color="auto" w:fill="auto"/>
            <w:noWrap/>
            <w:vAlign w:val="bottom"/>
            <w:hideMark/>
          </w:tcPr>
          <w:p w:rsidR="00BD13CD" w:rsidRPr="00BD13CD" w:rsidRDefault="00BD13CD" w:rsidP="003D4E5E">
            <w:pPr>
              <w:spacing w:after="0" w:line="240" w:lineRule="auto"/>
              <w:jc w:val="right"/>
              <w:rPr>
                <w:rFonts w:ascii="Arial" w:eastAsia="Times New Roman" w:hAnsi="Arial" w:cs="Arial"/>
                <w:sz w:val="20"/>
                <w:szCs w:val="20"/>
                <w:lang w:eastAsia="fr-FR"/>
              </w:rPr>
            </w:pPr>
            <w:r w:rsidRPr="00BD13CD">
              <w:rPr>
                <w:rFonts w:ascii="Arial" w:eastAsia="Times New Roman" w:hAnsi="Arial" w:cs="Arial"/>
                <w:sz w:val="20"/>
                <w:szCs w:val="20"/>
                <w:lang w:eastAsia="fr-FR"/>
              </w:rPr>
              <w:t>4 524 484</w:t>
            </w:r>
          </w:p>
        </w:tc>
        <w:tc>
          <w:tcPr>
            <w:tcW w:w="1701" w:type="dxa"/>
            <w:tcBorders>
              <w:top w:val="nil"/>
              <w:left w:val="nil"/>
              <w:bottom w:val="nil"/>
              <w:right w:val="single" w:sz="4" w:space="0" w:color="auto"/>
            </w:tcBorders>
            <w:shd w:val="clear" w:color="auto" w:fill="auto"/>
            <w:noWrap/>
            <w:vAlign w:val="bottom"/>
            <w:hideMark/>
          </w:tcPr>
          <w:p w:rsidR="00BD13CD" w:rsidRPr="00BD13CD" w:rsidRDefault="00BD13CD" w:rsidP="003D4E5E">
            <w:pPr>
              <w:spacing w:after="0" w:line="240" w:lineRule="auto"/>
              <w:rPr>
                <w:rFonts w:ascii="Arial" w:eastAsia="Times New Roman" w:hAnsi="Arial" w:cs="Arial"/>
                <w:sz w:val="20"/>
                <w:szCs w:val="20"/>
                <w:lang w:eastAsia="fr-FR"/>
              </w:rPr>
            </w:pPr>
            <w:r w:rsidRPr="00BD13CD">
              <w:rPr>
                <w:rFonts w:ascii="Arial" w:eastAsia="Times New Roman" w:hAnsi="Arial" w:cs="Arial"/>
                <w:sz w:val="20"/>
                <w:szCs w:val="20"/>
                <w:lang w:eastAsia="fr-FR"/>
              </w:rPr>
              <w:t> </w:t>
            </w:r>
          </w:p>
        </w:tc>
        <w:tc>
          <w:tcPr>
            <w:tcW w:w="1559" w:type="dxa"/>
            <w:tcBorders>
              <w:top w:val="nil"/>
              <w:left w:val="nil"/>
              <w:bottom w:val="nil"/>
              <w:right w:val="single" w:sz="4" w:space="0" w:color="auto"/>
            </w:tcBorders>
            <w:shd w:val="clear" w:color="auto" w:fill="auto"/>
            <w:noWrap/>
            <w:vAlign w:val="bottom"/>
            <w:hideMark/>
          </w:tcPr>
          <w:p w:rsidR="00BD13CD" w:rsidRPr="00BD13CD" w:rsidRDefault="00BD13CD" w:rsidP="003D4E5E">
            <w:pPr>
              <w:spacing w:after="0" w:line="240" w:lineRule="auto"/>
              <w:rPr>
                <w:rFonts w:ascii="Arial" w:eastAsia="Times New Roman" w:hAnsi="Arial" w:cs="Arial"/>
                <w:sz w:val="20"/>
                <w:szCs w:val="20"/>
                <w:lang w:eastAsia="fr-FR"/>
              </w:rPr>
            </w:pPr>
            <w:r w:rsidRPr="00BD13CD">
              <w:rPr>
                <w:rFonts w:ascii="Arial" w:eastAsia="Times New Roman" w:hAnsi="Arial" w:cs="Arial"/>
                <w:sz w:val="20"/>
                <w:szCs w:val="20"/>
                <w:lang w:eastAsia="fr-FR"/>
              </w:rPr>
              <w:t> </w:t>
            </w:r>
          </w:p>
        </w:tc>
      </w:tr>
      <w:tr w:rsidR="00A76AEA" w:rsidRPr="00BD13CD" w:rsidTr="00867FD0">
        <w:trPr>
          <w:trHeight w:val="255"/>
        </w:trPr>
        <w:tc>
          <w:tcPr>
            <w:tcW w:w="2689" w:type="dxa"/>
            <w:tcBorders>
              <w:top w:val="nil"/>
              <w:left w:val="single" w:sz="4" w:space="0" w:color="auto"/>
              <w:bottom w:val="single" w:sz="4" w:space="0" w:color="auto"/>
              <w:right w:val="single" w:sz="4" w:space="0" w:color="auto"/>
            </w:tcBorders>
            <w:shd w:val="clear" w:color="auto" w:fill="auto"/>
            <w:noWrap/>
            <w:vAlign w:val="bottom"/>
          </w:tcPr>
          <w:p w:rsidR="00A76AEA" w:rsidRDefault="00A76AEA" w:rsidP="003D4E5E">
            <w:pPr>
              <w:spacing w:after="0" w:line="240" w:lineRule="auto"/>
              <w:rPr>
                <w:rFonts w:ascii="Arial" w:eastAsia="Times New Roman" w:hAnsi="Arial" w:cs="Arial"/>
                <w:sz w:val="20"/>
                <w:szCs w:val="20"/>
                <w:lang w:eastAsia="fr-FR"/>
              </w:rPr>
            </w:pPr>
          </w:p>
          <w:p w:rsidR="00A76AEA" w:rsidRDefault="00A76AEA" w:rsidP="003D4E5E">
            <w:pPr>
              <w:spacing w:after="0" w:line="240" w:lineRule="auto"/>
              <w:rPr>
                <w:rFonts w:ascii="Arial" w:eastAsia="Times New Roman" w:hAnsi="Arial" w:cs="Arial"/>
                <w:sz w:val="20"/>
                <w:szCs w:val="20"/>
                <w:lang w:eastAsia="fr-FR"/>
              </w:rPr>
            </w:pPr>
          </w:p>
          <w:p w:rsidR="00A76AEA" w:rsidRDefault="00A76AEA" w:rsidP="003D4E5E">
            <w:pPr>
              <w:spacing w:after="0" w:line="240" w:lineRule="auto"/>
              <w:rPr>
                <w:rFonts w:ascii="Arial" w:eastAsia="Times New Roman" w:hAnsi="Arial" w:cs="Arial"/>
                <w:sz w:val="20"/>
                <w:szCs w:val="20"/>
                <w:lang w:eastAsia="fr-FR"/>
              </w:rPr>
            </w:pPr>
          </w:p>
          <w:p w:rsidR="00A76AEA" w:rsidRDefault="00A76AEA" w:rsidP="003D4E5E">
            <w:pPr>
              <w:spacing w:after="0" w:line="240" w:lineRule="auto"/>
              <w:rPr>
                <w:rFonts w:ascii="Arial" w:eastAsia="Times New Roman" w:hAnsi="Arial" w:cs="Arial"/>
                <w:sz w:val="20"/>
                <w:szCs w:val="20"/>
                <w:lang w:eastAsia="fr-FR"/>
              </w:rPr>
            </w:pPr>
          </w:p>
          <w:p w:rsidR="00A76AEA" w:rsidRDefault="00A76AEA" w:rsidP="003D4E5E">
            <w:pPr>
              <w:spacing w:after="0" w:line="240" w:lineRule="auto"/>
              <w:rPr>
                <w:rFonts w:ascii="Arial" w:eastAsia="Times New Roman" w:hAnsi="Arial" w:cs="Arial"/>
                <w:sz w:val="20"/>
                <w:szCs w:val="20"/>
                <w:lang w:eastAsia="fr-FR"/>
              </w:rPr>
            </w:pPr>
          </w:p>
          <w:p w:rsidR="00A76AEA" w:rsidRPr="00BD13CD" w:rsidRDefault="00A76AEA" w:rsidP="003D4E5E">
            <w:pPr>
              <w:spacing w:after="0" w:line="240" w:lineRule="auto"/>
              <w:rPr>
                <w:rFonts w:ascii="Arial" w:eastAsia="Times New Roman" w:hAnsi="Arial" w:cs="Arial"/>
                <w:sz w:val="20"/>
                <w:szCs w:val="20"/>
                <w:lang w:eastAsia="fr-FR"/>
              </w:rPr>
            </w:pPr>
          </w:p>
        </w:tc>
        <w:tc>
          <w:tcPr>
            <w:tcW w:w="1842" w:type="dxa"/>
            <w:tcBorders>
              <w:top w:val="nil"/>
              <w:left w:val="nil"/>
              <w:bottom w:val="single" w:sz="4" w:space="0" w:color="auto"/>
              <w:right w:val="single" w:sz="4" w:space="0" w:color="auto"/>
            </w:tcBorders>
            <w:shd w:val="clear" w:color="auto" w:fill="auto"/>
            <w:noWrap/>
            <w:vAlign w:val="bottom"/>
          </w:tcPr>
          <w:p w:rsidR="00A76AEA" w:rsidRPr="00BD13CD" w:rsidRDefault="00A76AEA" w:rsidP="003D4E5E">
            <w:pPr>
              <w:spacing w:after="0" w:line="240" w:lineRule="auto"/>
              <w:rPr>
                <w:rFonts w:ascii="Arial" w:eastAsia="Times New Roman" w:hAnsi="Arial" w:cs="Arial"/>
                <w:sz w:val="20"/>
                <w:szCs w:val="20"/>
                <w:lang w:eastAsia="fr-FR"/>
              </w:rPr>
            </w:pPr>
          </w:p>
        </w:tc>
        <w:tc>
          <w:tcPr>
            <w:tcW w:w="1276" w:type="dxa"/>
            <w:tcBorders>
              <w:top w:val="nil"/>
              <w:left w:val="nil"/>
              <w:bottom w:val="single" w:sz="4" w:space="0" w:color="auto"/>
              <w:right w:val="single" w:sz="4" w:space="0" w:color="auto"/>
            </w:tcBorders>
            <w:shd w:val="clear" w:color="auto" w:fill="auto"/>
            <w:noWrap/>
            <w:vAlign w:val="bottom"/>
          </w:tcPr>
          <w:p w:rsidR="00A76AEA" w:rsidRPr="00BD13CD" w:rsidRDefault="00A76AEA" w:rsidP="003D4E5E">
            <w:pPr>
              <w:spacing w:after="0" w:line="240" w:lineRule="auto"/>
              <w:jc w:val="right"/>
              <w:rPr>
                <w:rFonts w:ascii="Arial" w:eastAsia="Times New Roman" w:hAnsi="Arial" w:cs="Arial"/>
                <w:sz w:val="20"/>
                <w:szCs w:val="20"/>
                <w:lang w:eastAsia="fr-FR"/>
              </w:rPr>
            </w:pPr>
          </w:p>
        </w:tc>
        <w:tc>
          <w:tcPr>
            <w:tcW w:w="1701" w:type="dxa"/>
            <w:tcBorders>
              <w:top w:val="nil"/>
              <w:left w:val="nil"/>
              <w:bottom w:val="single" w:sz="4" w:space="0" w:color="auto"/>
              <w:right w:val="single" w:sz="4" w:space="0" w:color="auto"/>
            </w:tcBorders>
            <w:shd w:val="clear" w:color="auto" w:fill="auto"/>
            <w:noWrap/>
            <w:vAlign w:val="bottom"/>
          </w:tcPr>
          <w:p w:rsidR="00A76AEA" w:rsidRPr="00BD13CD" w:rsidRDefault="00A76AEA" w:rsidP="003D4E5E">
            <w:pPr>
              <w:spacing w:after="0" w:line="240" w:lineRule="auto"/>
              <w:rPr>
                <w:rFonts w:ascii="Arial" w:eastAsia="Times New Roman" w:hAnsi="Arial" w:cs="Arial"/>
                <w:sz w:val="20"/>
                <w:szCs w:val="20"/>
                <w:lang w:eastAsia="fr-FR"/>
              </w:rPr>
            </w:pPr>
          </w:p>
        </w:tc>
        <w:tc>
          <w:tcPr>
            <w:tcW w:w="1559" w:type="dxa"/>
            <w:tcBorders>
              <w:top w:val="nil"/>
              <w:left w:val="nil"/>
              <w:bottom w:val="single" w:sz="4" w:space="0" w:color="auto"/>
              <w:right w:val="single" w:sz="4" w:space="0" w:color="auto"/>
            </w:tcBorders>
            <w:shd w:val="clear" w:color="auto" w:fill="auto"/>
            <w:noWrap/>
            <w:vAlign w:val="bottom"/>
          </w:tcPr>
          <w:p w:rsidR="00A76AEA" w:rsidRPr="00BD13CD" w:rsidRDefault="00A76AEA" w:rsidP="003D4E5E">
            <w:pPr>
              <w:spacing w:after="0" w:line="240" w:lineRule="auto"/>
              <w:rPr>
                <w:rFonts w:ascii="Arial" w:eastAsia="Times New Roman" w:hAnsi="Arial" w:cs="Arial"/>
                <w:sz w:val="20"/>
                <w:szCs w:val="20"/>
                <w:lang w:eastAsia="fr-FR"/>
              </w:rPr>
            </w:pPr>
          </w:p>
        </w:tc>
      </w:tr>
    </w:tbl>
    <w:p w:rsidR="003D4E5E" w:rsidRDefault="003D4E5E" w:rsidP="004326AE">
      <w:pPr>
        <w:spacing w:before="100" w:beforeAutospacing="1" w:after="0" w:line="240" w:lineRule="auto"/>
        <w:jc w:val="both"/>
        <w:rPr>
          <w:rFonts w:ascii="Times New Roman" w:eastAsia="Times New Roman" w:hAnsi="Times New Roman" w:cs="Times New Roman"/>
          <w:b/>
          <w:sz w:val="24"/>
          <w:szCs w:val="24"/>
          <w:lang w:eastAsia="fr-FR"/>
        </w:rPr>
      </w:pPr>
      <w:r w:rsidRPr="003D4E5E">
        <w:rPr>
          <w:rFonts w:ascii="Times New Roman" w:eastAsia="Times New Roman" w:hAnsi="Times New Roman" w:cs="Times New Roman"/>
          <w:b/>
          <w:sz w:val="24"/>
          <w:szCs w:val="24"/>
          <w:lang w:eastAsia="fr-FR"/>
        </w:rPr>
        <w:t>Evolution des bases fiscales 2023/2024</w:t>
      </w:r>
    </w:p>
    <w:tbl>
      <w:tblPr>
        <w:tblStyle w:val="Grilledutableau"/>
        <w:tblW w:w="0" w:type="auto"/>
        <w:tblLook w:val="04A0" w:firstRow="1" w:lastRow="0" w:firstColumn="1" w:lastColumn="0" w:noHBand="0" w:noVBand="1"/>
      </w:tblPr>
      <w:tblGrid>
        <w:gridCol w:w="2689"/>
        <w:gridCol w:w="1417"/>
        <w:gridCol w:w="1329"/>
        <w:gridCol w:w="1252"/>
        <w:gridCol w:w="2375"/>
      </w:tblGrid>
      <w:tr w:rsidR="00867FD0" w:rsidRPr="00867FD0" w:rsidTr="00867FD0">
        <w:trPr>
          <w:trHeight w:val="630"/>
        </w:trPr>
        <w:tc>
          <w:tcPr>
            <w:tcW w:w="2689" w:type="dxa"/>
            <w:shd w:val="clear" w:color="auto" w:fill="D9E2F3" w:themeFill="accent1" w:themeFillTint="33"/>
            <w:hideMark/>
          </w:tcPr>
          <w:p w:rsidR="00867FD0" w:rsidRPr="00867FD0" w:rsidRDefault="00867FD0" w:rsidP="00867FD0">
            <w:pPr>
              <w:spacing w:before="100" w:beforeAutospacing="1"/>
              <w:jc w:val="center"/>
              <w:rPr>
                <w:rFonts w:ascii="Times New Roman" w:eastAsia="Times New Roman" w:hAnsi="Times New Roman" w:cs="Times New Roman"/>
                <w:b/>
                <w:bCs/>
                <w:sz w:val="24"/>
                <w:szCs w:val="24"/>
                <w:lang w:eastAsia="fr-FR"/>
              </w:rPr>
            </w:pPr>
          </w:p>
        </w:tc>
        <w:tc>
          <w:tcPr>
            <w:tcW w:w="1417" w:type="dxa"/>
            <w:shd w:val="clear" w:color="auto" w:fill="D9E2F3" w:themeFill="accent1" w:themeFillTint="33"/>
            <w:hideMark/>
          </w:tcPr>
          <w:p w:rsidR="00867FD0" w:rsidRPr="00867FD0" w:rsidRDefault="00867FD0" w:rsidP="00867FD0">
            <w:pPr>
              <w:spacing w:before="100" w:beforeAutospacing="1"/>
              <w:jc w:val="center"/>
              <w:rPr>
                <w:rFonts w:ascii="Times New Roman" w:eastAsia="Times New Roman" w:hAnsi="Times New Roman" w:cs="Times New Roman"/>
                <w:b/>
                <w:bCs/>
                <w:sz w:val="24"/>
                <w:szCs w:val="24"/>
                <w:lang w:eastAsia="fr-FR"/>
              </w:rPr>
            </w:pPr>
            <w:r w:rsidRPr="00867FD0">
              <w:rPr>
                <w:rFonts w:ascii="Times New Roman" w:eastAsia="Times New Roman" w:hAnsi="Times New Roman" w:cs="Times New Roman"/>
                <w:b/>
                <w:bCs/>
                <w:sz w:val="24"/>
                <w:szCs w:val="24"/>
                <w:lang w:eastAsia="fr-FR"/>
              </w:rPr>
              <w:t>2023</w:t>
            </w:r>
          </w:p>
        </w:tc>
        <w:tc>
          <w:tcPr>
            <w:tcW w:w="1329" w:type="dxa"/>
            <w:shd w:val="clear" w:color="auto" w:fill="D9E2F3" w:themeFill="accent1" w:themeFillTint="33"/>
            <w:hideMark/>
          </w:tcPr>
          <w:p w:rsidR="00867FD0" w:rsidRPr="00867FD0" w:rsidRDefault="00867FD0" w:rsidP="00867FD0">
            <w:pPr>
              <w:spacing w:before="100" w:beforeAutospacing="1"/>
              <w:jc w:val="center"/>
              <w:rPr>
                <w:rFonts w:ascii="Times New Roman" w:eastAsia="Times New Roman" w:hAnsi="Times New Roman" w:cs="Times New Roman"/>
                <w:b/>
                <w:bCs/>
                <w:sz w:val="24"/>
                <w:szCs w:val="24"/>
                <w:lang w:eastAsia="fr-FR"/>
              </w:rPr>
            </w:pPr>
            <w:r w:rsidRPr="00867FD0">
              <w:rPr>
                <w:rFonts w:ascii="Times New Roman" w:eastAsia="Times New Roman" w:hAnsi="Times New Roman" w:cs="Times New Roman"/>
                <w:b/>
                <w:bCs/>
                <w:sz w:val="24"/>
                <w:szCs w:val="24"/>
                <w:lang w:eastAsia="fr-FR"/>
              </w:rPr>
              <w:t>2024</w:t>
            </w:r>
          </w:p>
        </w:tc>
        <w:tc>
          <w:tcPr>
            <w:tcW w:w="1252" w:type="dxa"/>
            <w:shd w:val="clear" w:color="auto" w:fill="D9E2F3" w:themeFill="accent1" w:themeFillTint="33"/>
            <w:hideMark/>
          </w:tcPr>
          <w:p w:rsidR="00867FD0" w:rsidRPr="00867FD0" w:rsidRDefault="00867FD0" w:rsidP="00867FD0">
            <w:pPr>
              <w:spacing w:before="100" w:beforeAutospacing="1"/>
              <w:jc w:val="center"/>
              <w:rPr>
                <w:rFonts w:ascii="Times New Roman" w:eastAsia="Times New Roman" w:hAnsi="Times New Roman" w:cs="Times New Roman"/>
                <w:b/>
                <w:bCs/>
                <w:sz w:val="24"/>
                <w:szCs w:val="24"/>
                <w:lang w:eastAsia="fr-FR"/>
              </w:rPr>
            </w:pPr>
            <w:r w:rsidRPr="00867FD0">
              <w:rPr>
                <w:rFonts w:ascii="Times New Roman" w:eastAsia="Times New Roman" w:hAnsi="Times New Roman" w:cs="Times New Roman"/>
                <w:b/>
                <w:bCs/>
                <w:sz w:val="24"/>
                <w:szCs w:val="24"/>
                <w:lang w:eastAsia="fr-FR"/>
              </w:rPr>
              <w:t>Evolution en %</w:t>
            </w:r>
          </w:p>
        </w:tc>
        <w:tc>
          <w:tcPr>
            <w:tcW w:w="2375" w:type="dxa"/>
            <w:shd w:val="clear" w:color="auto" w:fill="D9E2F3" w:themeFill="accent1" w:themeFillTint="33"/>
            <w:hideMark/>
          </w:tcPr>
          <w:p w:rsidR="00867FD0" w:rsidRPr="00867FD0" w:rsidRDefault="00867FD0" w:rsidP="00867FD0">
            <w:pPr>
              <w:spacing w:before="100" w:beforeAutospacing="1"/>
              <w:jc w:val="center"/>
              <w:rPr>
                <w:rFonts w:ascii="Times New Roman" w:eastAsia="Times New Roman" w:hAnsi="Times New Roman" w:cs="Times New Roman"/>
                <w:b/>
                <w:bCs/>
                <w:sz w:val="24"/>
                <w:szCs w:val="24"/>
                <w:lang w:eastAsia="fr-FR"/>
              </w:rPr>
            </w:pPr>
            <w:r w:rsidRPr="00867FD0">
              <w:rPr>
                <w:rFonts w:ascii="Times New Roman" w:eastAsia="Times New Roman" w:hAnsi="Times New Roman" w:cs="Times New Roman"/>
                <w:b/>
                <w:bCs/>
                <w:sz w:val="24"/>
                <w:szCs w:val="24"/>
                <w:lang w:eastAsia="fr-FR"/>
              </w:rPr>
              <w:t>Observations</w:t>
            </w:r>
          </w:p>
        </w:tc>
      </w:tr>
      <w:tr w:rsidR="00867FD0" w:rsidRPr="00867FD0" w:rsidTr="00867FD0">
        <w:trPr>
          <w:trHeight w:val="630"/>
        </w:trPr>
        <w:tc>
          <w:tcPr>
            <w:tcW w:w="2689" w:type="dxa"/>
            <w:hideMark/>
          </w:tcPr>
          <w:p w:rsidR="00867FD0" w:rsidRPr="00867FD0" w:rsidRDefault="00867FD0" w:rsidP="00867FD0">
            <w:pPr>
              <w:spacing w:before="100" w:beforeAutospacing="1"/>
              <w:jc w:val="both"/>
              <w:rPr>
                <w:rFonts w:ascii="Times New Roman" w:eastAsia="Times New Roman" w:hAnsi="Times New Roman" w:cs="Times New Roman"/>
                <w:b/>
                <w:sz w:val="24"/>
                <w:szCs w:val="24"/>
                <w:lang w:eastAsia="fr-FR"/>
              </w:rPr>
            </w:pPr>
            <w:r w:rsidRPr="00867FD0">
              <w:rPr>
                <w:rFonts w:ascii="Times New Roman" w:eastAsia="Times New Roman" w:hAnsi="Times New Roman" w:cs="Times New Roman"/>
                <w:b/>
                <w:sz w:val="24"/>
                <w:szCs w:val="24"/>
                <w:lang w:eastAsia="fr-FR"/>
              </w:rPr>
              <w:t>Taxe habitation Résidences Secondaires</w:t>
            </w:r>
          </w:p>
        </w:tc>
        <w:tc>
          <w:tcPr>
            <w:tcW w:w="1417" w:type="dxa"/>
            <w:hideMark/>
          </w:tcPr>
          <w:p w:rsidR="00867FD0" w:rsidRPr="00867FD0" w:rsidRDefault="00867FD0" w:rsidP="00867FD0">
            <w:pPr>
              <w:spacing w:before="100" w:beforeAutospacing="1"/>
              <w:jc w:val="right"/>
              <w:rPr>
                <w:rFonts w:ascii="Times New Roman" w:eastAsia="Times New Roman" w:hAnsi="Times New Roman" w:cs="Times New Roman"/>
                <w:sz w:val="24"/>
                <w:szCs w:val="24"/>
                <w:lang w:eastAsia="fr-FR"/>
              </w:rPr>
            </w:pPr>
            <w:r w:rsidRPr="00867FD0">
              <w:rPr>
                <w:rFonts w:ascii="Times New Roman" w:eastAsia="Times New Roman" w:hAnsi="Times New Roman" w:cs="Times New Roman"/>
                <w:sz w:val="24"/>
                <w:szCs w:val="24"/>
                <w:lang w:eastAsia="fr-FR"/>
              </w:rPr>
              <w:t>12 531 577</w:t>
            </w:r>
          </w:p>
        </w:tc>
        <w:tc>
          <w:tcPr>
            <w:tcW w:w="1329" w:type="dxa"/>
            <w:hideMark/>
          </w:tcPr>
          <w:p w:rsidR="00867FD0" w:rsidRPr="00867FD0" w:rsidRDefault="00867FD0" w:rsidP="00867FD0">
            <w:pPr>
              <w:spacing w:before="100" w:beforeAutospacing="1"/>
              <w:jc w:val="right"/>
              <w:rPr>
                <w:rFonts w:ascii="Times New Roman" w:eastAsia="Times New Roman" w:hAnsi="Times New Roman" w:cs="Times New Roman"/>
                <w:sz w:val="24"/>
                <w:szCs w:val="24"/>
                <w:lang w:eastAsia="fr-FR"/>
              </w:rPr>
            </w:pPr>
            <w:r w:rsidRPr="00867FD0">
              <w:rPr>
                <w:rFonts w:ascii="Times New Roman" w:eastAsia="Times New Roman" w:hAnsi="Times New Roman" w:cs="Times New Roman"/>
                <w:sz w:val="24"/>
                <w:szCs w:val="24"/>
                <w:lang w:eastAsia="fr-FR"/>
              </w:rPr>
              <w:t>12 374 000</w:t>
            </w:r>
          </w:p>
        </w:tc>
        <w:tc>
          <w:tcPr>
            <w:tcW w:w="1252" w:type="dxa"/>
            <w:hideMark/>
          </w:tcPr>
          <w:p w:rsidR="00867FD0" w:rsidRPr="002C0EA3" w:rsidRDefault="00867FD0" w:rsidP="00867FD0">
            <w:pPr>
              <w:spacing w:before="100" w:beforeAutospacing="1"/>
              <w:jc w:val="right"/>
              <w:rPr>
                <w:rFonts w:ascii="Times New Roman" w:eastAsia="Times New Roman" w:hAnsi="Times New Roman" w:cs="Times New Roman"/>
                <w:b/>
                <w:sz w:val="24"/>
                <w:szCs w:val="24"/>
                <w:lang w:eastAsia="fr-FR"/>
              </w:rPr>
            </w:pPr>
            <w:r w:rsidRPr="002C0EA3">
              <w:rPr>
                <w:rFonts w:ascii="Times New Roman" w:eastAsia="Times New Roman" w:hAnsi="Times New Roman" w:cs="Times New Roman"/>
                <w:b/>
                <w:color w:val="FF0000"/>
                <w:sz w:val="24"/>
                <w:szCs w:val="24"/>
                <w:lang w:eastAsia="fr-FR"/>
              </w:rPr>
              <w:t>-1,26%</w:t>
            </w:r>
          </w:p>
        </w:tc>
        <w:tc>
          <w:tcPr>
            <w:tcW w:w="2375" w:type="dxa"/>
            <w:hideMark/>
          </w:tcPr>
          <w:p w:rsidR="00867FD0" w:rsidRPr="00867FD0" w:rsidRDefault="00867FD0" w:rsidP="00867FD0">
            <w:pPr>
              <w:spacing w:before="100" w:beforeAutospacing="1"/>
              <w:jc w:val="both"/>
              <w:rPr>
                <w:rFonts w:ascii="Times New Roman" w:eastAsia="Times New Roman" w:hAnsi="Times New Roman" w:cs="Times New Roman"/>
                <w:sz w:val="24"/>
                <w:szCs w:val="24"/>
                <w:lang w:eastAsia="fr-FR"/>
              </w:rPr>
            </w:pPr>
            <w:r w:rsidRPr="00867FD0">
              <w:rPr>
                <w:rFonts w:ascii="Times New Roman" w:eastAsia="Times New Roman" w:hAnsi="Times New Roman" w:cs="Times New Roman"/>
                <w:sz w:val="24"/>
                <w:szCs w:val="24"/>
                <w:lang w:eastAsia="fr-FR"/>
              </w:rPr>
              <w:t>Revalorisation des bases fiscales de 3,9%</w:t>
            </w:r>
          </w:p>
        </w:tc>
      </w:tr>
      <w:tr w:rsidR="00867FD0" w:rsidRPr="00867FD0" w:rsidTr="00867FD0">
        <w:trPr>
          <w:trHeight w:val="630"/>
        </w:trPr>
        <w:tc>
          <w:tcPr>
            <w:tcW w:w="2689" w:type="dxa"/>
            <w:hideMark/>
          </w:tcPr>
          <w:p w:rsidR="00867FD0" w:rsidRPr="00867FD0" w:rsidRDefault="00867FD0" w:rsidP="00867FD0">
            <w:pPr>
              <w:spacing w:before="100" w:beforeAutospacing="1"/>
              <w:jc w:val="both"/>
              <w:rPr>
                <w:rFonts w:ascii="Times New Roman" w:eastAsia="Times New Roman" w:hAnsi="Times New Roman" w:cs="Times New Roman"/>
                <w:b/>
                <w:sz w:val="24"/>
                <w:szCs w:val="24"/>
                <w:lang w:eastAsia="fr-FR"/>
              </w:rPr>
            </w:pPr>
            <w:r w:rsidRPr="00867FD0">
              <w:rPr>
                <w:rFonts w:ascii="Times New Roman" w:eastAsia="Times New Roman" w:hAnsi="Times New Roman" w:cs="Times New Roman"/>
                <w:b/>
                <w:sz w:val="24"/>
                <w:szCs w:val="24"/>
                <w:lang w:eastAsia="fr-FR"/>
              </w:rPr>
              <w:t>Taxe foncier bâti additionnel</w:t>
            </w:r>
          </w:p>
        </w:tc>
        <w:tc>
          <w:tcPr>
            <w:tcW w:w="1417" w:type="dxa"/>
            <w:hideMark/>
          </w:tcPr>
          <w:p w:rsidR="00867FD0" w:rsidRPr="00867FD0" w:rsidRDefault="00867FD0" w:rsidP="00867FD0">
            <w:pPr>
              <w:spacing w:before="100" w:beforeAutospacing="1"/>
              <w:jc w:val="right"/>
              <w:rPr>
                <w:rFonts w:ascii="Times New Roman" w:eastAsia="Times New Roman" w:hAnsi="Times New Roman" w:cs="Times New Roman"/>
                <w:sz w:val="24"/>
                <w:szCs w:val="24"/>
                <w:lang w:eastAsia="fr-FR"/>
              </w:rPr>
            </w:pPr>
            <w:r w:rsidRPr="00867FD0">
              <w:rPr>
                <w:rFonts w:ascii="Times New Roman" w:eastAsia="Times New Roman" w:hAnsi="Times New Roman" w:cs="Times New Roman"/>
                <w:sz w:val="24"/>
                <w:szCs w:val="24"/>
                <w:lang w:eastAsia="fr-FR"/>
              </w:rPr>
              <w:t>52 043 666</w:t>
            </w:r>
          </w:p>
        </w:tc>
        <w:tc>
          <w:tcPr>
            <w:tcW w:w="1329" w:type="dxa"/>
            <w:hideMark/>
          </w:tcPr>
          <w:p w:rsidR="00867FD0" w:rsidRPr="00867FD0" w:rsidRDefault="00867FD0" w:rsidP="00867FD0">
            <w:pPr>
              <w:spacing w:before="100" w:beforeAutospacing="1"/>
              <w:jc w:val="right"/>
              <w:rPr>
                <w:rFonts w:ascii="Times New Roman" w:eastAsia="Times New Roman" w:hAnsi="Times New Roman" w:cs="Times New Roman"/>
                <w:sz w:val="24"/>
                <w:szCs w:val="24"/>
                <w:lang w:eastAsia="fr-FR"/>
              </w:rPr>
            </w:pPr>
            <w:r w:rsidRPr="00867FD0">
              <w:rPr>
                <w:rFonts w:ascii="Times New Roman" w:eastAsia="Times New Roman" w:hAnsi="Times New Roman" w:cs="Times New Roman"/>
                <w:sz w:val="24"/>
                <w:szCs w:val="24"/>
                <w:lang w:eastAsia="fr-FR"/>
              </w:rPr>
              <w:t>54 937 000</w:t>
            </w:r>
          </w:p>
        </w:tc>
        <w:tc>
          <w:tcPr>
            <w:tcW w:w="1252" w:type="dxa"/>
            <w:hideMark/>
          </w:tcPr>
          <w:p w:rsidR="00867FD0" w:rsidRPr="00867FD0" w:rsidRDefault="00867FD0" w:rsidP="00867FD0">
            <w:pPr>
              <w:spacing w:before="100" w:beforeAutospacing="1"/>
              <w:jc w:val="right"/>
              <w:rPr>
                <w:rFonts w:ascii="Times New Roman" w:eastAsia="Times New Roman" w:hAnsi="Times New Roman" w:cs="Times New Roman"/>
                <w:sz w:val="24"/>
                <w:szCs w:val="24"/>
                <w:lang w:eastAsia="fr-FR"/>
              </w:rPr>
            </w:pPr>
            <w:r w:rsidRPr="00867FD0">
              <w:rPr>
                <w:rFonts w:ascii="Times New Roman" w:eastAsia="Times New Roman" w:hAnsi="Times New Roman" w:cs="Times New Roman"/>
                <w:sz w:val="24"/>
                <w:szCs w:val="24"/>
                <w:lang w:eastAsia="fr-FR"/>
              </w:rPr>
              <w:t>5,56%</w:t>
            </w:r>
          </w:p>
        </w:tc>
        <w:tc>
          <w:tcPr>
            <w:tcW w:w="2375" w:type="dxa"/>
            <w:hideMark/>
          </w:tcPr>
          <w:p w:rsidR="00867FD0" w:rsidRPr="00867FD0" w:rsidRDefault="00867FD0" w:rsidP="00867FD0">
            <w:pPr>
              <w:spacing w:before="100" w:beforeAutospacing="1"/>
              <w:jc w:val="both"/>
              <w:rPr>
                <w:rFonts w:ascii="Times New Roman" w:eastAsia="Times New Roman" w:hAnsi="Times New Roman" w:cs="Times New Roman"/>
                <w:sz w:val="24"/>
                <w:szCs w:val="24"/>
                <w:lang w:eastAsia="fr-FR"/>
              </w:rPr>
            </w:pPr>
            <w:r w:rsidRPr="00867FD0">
              <w:rPr>
                <w:rFonts w:ascii="Times New Roman" w:eastAsia="Times New Roman" w:hAnsi="Times New Roman" w:cs="Times New Roman"/>
                <w:sz w:val="24"/>
                <w:szCs w:val="24"/>
                <w:lang w:eastAsia="fr-FR"/>
              </w:rPr>
              <w:t>Taux à 0% donc pas de produit</w:t>
            </w:r>
          </w:p>
        </w:tc>
      </w:tr>
      <w:tr w:rsidR="00867FD0" w:rsidRPr="00867FD0" w:rsidTr="00867FD0">
        <w:trPr>
          <w:trHeight w:val="315"/>
        </w:trPr>
        <w:tc>
          <w:tcPr>
            <w:tcW w:w="2689" w:type="dxa"/>
            <w:hideMark/>
          </w:tcPr>
          <w:p w:rsidR="00867FD0" w:rsidRPr="00867FD0" w:rsidRDefault="00867FD0" w:rsidP="00867FD0">
            <w:pPr>
              <w:spacing w:before="100" w:beforeAutospacing="1"/>
              <w:jc w:val="both"/>
              <w:rPr>
                <w:rFonts w:ascii="Times New Roman" w:eastAsia="Times New Roman" w:hAnsi="Times New Roman" w:cs="Times New Roman"/>
                <w:b/>
                <w:sz w:val="24"/>
                <w:szCs w:val="24"/>
                <w:lang w:eastAsia="fr-FR"/>
              </w:rPr>
            </w:pPr>
            <w:r w:rsidRPr="00867FD0">
              <w:rPr>
                <w:rFonts w:ascii="Times New Roman" w:eastAsia="Times New Roman" w:hAnsi="Times New Roman" w:cs="Times New Roman"/>
                <w:b/>
                <w:sz w:val="24"/>
                <w:szCs w:val="24"/>
                <w:lang w:eastAsia="fr-FR"/>
              </w:rPr>
              <w:t>Taxe foncière non bâti additionnel</w:t>
            </w:r>
          </w:p>
        </w:tc>
        <w:tc>
          <w:tcPr>
            <w:tcW w:w="1417" w:type="dxa"/>
            <w:hideMark/>
          </w:tcPr>
          <w:p w:rsidR="00867FD0" w:rsidRPr="00867FD0" w:rsidRDefault="00867FD0" w:rsidP="00867FD0">
            <w:pPr>
              <w:spacing w:before="100" w:beforeAutospacing="1"/>
              <w:jc w:val="right"/>
              <w:rPr>
                <w:rFonts w:ascii="Times New Roman" w:eastAsia="Times New Roman" w:hAnsi="Times New Roman" w:cs="Times New Roman"/>
                <w:sz w:val="24"/>
                <w:szCs w:val="24"/>
                <w:lang w:eastAsia="fr-FR"/>
              </w:rPr>
            </w:pPr>
            <w:r w:rsidRPr="00867FD0">
              <w:rPr>
                <w:rFonts w:ascii="Times New Roman" w:eastAsia="Times New Roman" w:hAnsi="Times New Roman" w:cs="Times New Roman"/>
                <w:sz w:val="24"/>
                <w:szCs w:val="24"/>
                <w:lang w:eastAsia="fr-FR"/>
              </w:rPr>
              <w:t>2 089 781</w:t>
            </w:r>
          </w:p>
        </w:tc>
        <w:tc>
          <w:tcPr>
            <w:tcW w:w="1329" w:type="dxa"/>
            <w:hideMark/>
          </w:tcPr>
          <w:p w:rsidR="00867FD0" w:rsidRPr="00867FD0" w:rsidRDefault="00867FD0" w:rsidP="00867FD0">
            <w:pPr>
              <w:spacing w:before="100" w:beforeAutospacing="1"/>
              <w:jc w:val="right"/>
              <w:rPr>
                <w:rFonts w:ascii="Times New Roman" w:eastAsia="Times New Roman" w:hAnsi="Times New Roman" w:cs="Times New Roman"/>
                <w:sz w:val="24"/>
                <w:szCs w:val="24"/>
                <w:lang w:eastAsia="fr-FR"/>
              </w:rPr>
            </w:pPr>
            <w:r w:rsidRPr="00867FD0">
              <w:rPr>
                <w:rFonts w:ascii="Times New Roman" w:eastAsia="Times New Roman" w:hAnsi="Times New Roman" w:cs="Times New Roman"/>
                <w:sz w:val="24"/>
                <w:szCs w:val="24"/>
                <w:lang w:eastAsia="fr-FR"/>
              </w:rPr>
              <w:t>2 168 000</w:t>
            </w:r>
          </w:p>
        </w:tc>
        <w:tc>
          <w:tcPr>
            <w:tcW w:w="1252" w:type="dxa"/>
            <w:hideMark/>
          </w:tcPr>
          <w:p w:rsidR="00867FD0" w:rsidRPr="00867FD0" w:rsidRDefault="00867FD0" w:rsidP="00867FD0">
            <w:pPr>
              <w:spacing w:before="100" w:beforeAutospacing="1"/>
              <w:jc w:val="right"/>
              <w:rPr>
                <w:rFonts w:ascii="Times New Roman" w:eastAsia="Times New Roman" w:hAnsi="Times New Roman" w:cs="Times New Roman"/>
                <w:sz w:val="24"/>
                <w:szCs w:val="24"/>
                <w:lang w:eastAsia="fr-FR"/>
              </w:rPr>
            </w:pPr>
            <w:r w:rsidRPr="00867FD0">
              <w:rPr>
                <w:rFonts w:ascii="Times New Roman" w:eastAsia="Times New Roman" w:hAnsi="Times New Roman" w:cs="Times New Roman"/>
                <w:sz w:val="24"/>
                <w:szCs w:val="24"/>
                <w:lang w:eastAsia="fr-FR"/>
              </w:rPr>
              <w:t>3,74%</w:t>
            </w:r>
          </w:p>
        </w:tc>
        <w:tc>
          <w:tcPr>
            <w:tcW w:w="2375" w:type="dxa"/>
            <w:hideMark/>
          </w:tcPr>
          <w:p w:rsidR="00867FD0" w:rsidRPr="00867FD0" w:rsidRDefault="00867FD0" w:rsidP="00867FD0">
            <w:pPr>
              <w:spacing w:before="100" w:beforeAutospacing="1"/>
              <w:jc w:val="both"/>
              <w:rPr>
                <w:rFonts w:ascii="Times New Roman" w:eastAsia="Times New Roman" w:hAnsi="Times New Roman" w:cs="Times New Roman"/>
                <w:sz w:val="24"/>
                <w:szCs w:val="24"/>
                <w:lang w:eastAsia="fr-FR"/>
              </w:rPr>
            </w:pPr>
            <w:r w:rsidRPr="00867FD0">
              <w:rPr>
                <w:rFonts w:ascii="Times New Roman" w:eastAsia="Times New Roman" w:hAnsi="Times New Roman" w:cs="Times New Roman"/>
                <w:sz w:val="24"/>
                <w:szCs w:val="24"/>
                <w:lang w:eastAsia="fr-FR"/>
              </w:rPr>
              <w:t> </w:t>
            </w:r>
          </w:p>
        </w:tc>
      </w:tr>
      <w:tr w:rsidR="00867FD0" w:rsidRPr="00867FD0" w:rsidTr="00867FD0">
        <w:trPr>
          <w:trHeight w:val="315"/>
        </w:trPr>
        <w:tc>
          <w:tcPr>
            <w:tcW w:w="2689" w:type="dxa"/>
            <w:hideMark/>
          </w:tcPr>
          <w:p w:rsidR="00867FD0" w:rsidRPr="00867FD0" w:rsidRDefault="00867FD0" w:rsidP="00867FD0">
            <w:pPr>
              <w:spacing w:before="100" w:beforeAutospacing="1"/>
              <w:jc w:val="both"/>
              <w:rPr>
                <w:rFonts w:ascii="Times New Roman" w:eastAsia="Times New Roman" w:hAnsi="Times New Roman" w:cs="Times New Roman"/>
                <w:b/>
                <w:sz w:val="24"/>
                <w:szCs w:val="24"/>
                <w:lang w:eastAsia="fr-FR"/>
              </w:rPr>
            </w:pPr>
            <w:r w:rsidRPr="00867FD0">
              <w:rPr>
                <w:rFonts w:ascii="Times New Roman" w:eastAsia="Times New Roman" w:hAnsi="Times New Roman" w:cs="Times New Roman"/>
                <w:b/>
                <w:sz w:val="24"/>
                <w:szCs w:val="24"/>
                <w:lang w:eastAsia="fr-FR"/>
              </w:rPr>
              <w:t>Cotisation foncière économique</w:t>
            </w:r>
          </w:p>
        </w:tc>
        <w:tc>
          <w:tcPr>
            <w:tcW w:w="1417" w:type="dxa"/>
            <w:hideMark/>
          </w:tcPr>
          <w:p w:rsidR="00867FD0" w:rsidRPr="00867FD0" w:rsidRDefault="00867FD0" w:rsidP="00867FD0">
            <w:pPr>
              <w:spacing w:before="100" w:beforeAutospacing="1"/>
              <w:jc w:val="right"/>
              <w:rPr>
                <w:rFonts w:ascii="Times New Roman" w:eastAsia="Times New Roman" w:hAnsi="Times New Roman" w:cs="Times New Roman"/>
                <w:sz w:val="24"/>
                <w:szCs w:val="24"/>
                <w:lang w:eastAsia="fr-FR"/>
              </w:rPr>
            </w:pPr>
            <w:r w:rsidRPr="00867FD0">
              <w:rPr>
                <w:rFonts w:ascii="Times New Roman" w:eastAsia="Times New Roman" w:hAnsi="Times New Roman" w:cs="Times New Roman"/>
                <w:sz w:val="24"/>
                <w:szCs w:val="24"/>
                <w:lang w:eastAsia="fr-FR"/>
              </w:rPr>
              <w:t>6 474 030</w:t>
            </w:r>
          </w:p>
        </w:tc>
        <w:tc>
          <w:tcPr>
            <w:tcW w:w="1329" w:type="dxa"/>
            <w:hideMark/>
          </w:tcPr>
          <w:p w:rsidR="00867FD0" w:rsidRPr="00867FD0" w:rsidRDefault="00867FD0" w:rsidP="00867FD0">
            <w:pPr>
              <w:spacing w:before="100" w:beforeAutospacing="1"/>
              <w:jc w:val="right"/>
              <w:rPr>
                <w:rFonts w:ascii="Times New Roman" w:eastAsia="Times New Roman" w:hAnsi="Times New Roman" w:cs="Times New Roman"/>
                <w:sz w:val="24"/>
                <w:szCs w:val="24"/>
                <w:lang w:eastAsia="fr-FR"/>
              </w:rPr>
            </w:pPr>
            <w:r w:rsidRPr="00867FD0">
              <w:rPr>
                <w:rFonts w:ascii="Times New Roman" w:eastAsia="Times New Roman" w:hAnsi="Times New Roman" w:cs="Times New Roman"/>
                <w:sz w:val="24"/>
                <w:szCs w:val="24"/>
                <w:lang w:eastAsia="fr-FR"/>
              </w:rPr>
              <w:t>6 955 000</w:t>
            </w:r>
          </w:p>
        </w:tc>
        <w:tc>
          <w:tcPr>
            <w:tcW w:w="1252" w:type="dxa"/>
            <w:hideMark/>
          </w:tcPr>
          <w:p w:rsidR="00867FD0" w:rsidRPr="00867FD0" w:rsidRDefault="00867FD0" w:rsidP="00867FD0">
            <w:pPr>
              <w:spacing w:before="100" w:beforeAutospacing="1"/>
              <w:jc w:val="right"/>
              <w:rPr>
                <w:rFonts w:ascii="Times New Roman" w:eastAsia="Times New Roman" w:hAnsi="Times New Roman" w:cs="Times New Roman"/>
                <w:sz w:val="24"/>
                <w:szCs w:val="24"/>
                <w:lang w:eastAsia="fr-FR"/>
              </w:rPr>
            </w:pPr>
            <w:r w:rsidRPr="00867FD0">
              <w:rPr>
                <w:rFonts w:ascii="Times New Roman" w:eastAsia="Times New Roman" w:hAnsi="Times New Roman" w:cs="Times New Roman"/>
                <w:sz w:val="24"/>
                <w:szCs w:val="24"/>
                <w:lang w:eastAsia="fr-FR"/>
              </w:rPr>
              <w:t>7,43%</w:t>
            </w:r>
          </w:p>
        </w:tc>
        <w:tc>
          <w:tcPr>
            <w:tcW w:w="2375" w:type="dxa"/>
            <w:hideMark/>
          </w:tcPr>
          <w:p w:rsidR="00867FD0" w:rsidRPr="00867FD0" w:rsidRDefault="00867FD0" w:rsidP="00867FD0">
            <w:pPr>
              <w:spacing w:before="100" w:beforeAutospacing="1"/>
              <w:jc w:val="both"/>
              <w:rPr>
                <w:rFonts w:ascii="Times New Roman" w:eastAsia="Times New Roman" w:hAnsi="Times New Roman" w:cs="Times New Roman"/>
                <w:sz w:val="24"/>
                <w:szCs w:val="24"/>
                <w:lang w:eastAsia="fr-FR"/>
              </w:rPr>
            </w:pPr>
            <w:r w:rsidRPr="00867FD0">
              <w:rPr>
                <w:rFonts w:ascii="Times New Roman" w:eastAsia="Times New Roman" w:hAnsi="Times New Roman" w:cs="Times New Roman"/>
                <w:sz w:val="24"/>
                <w:szCs w:val="24"/>
                <w:lang w:eastAsia="fr-FR"/>
              </w:rPr>
              <w:t> </w:t>
            </w:r>
          </w:p>
        </w:tc>
      </w:tr>
    </w:tbl>
    <w:p w:rsidR="00074BB6" w:rsidRDefault="003B31F5" w:rsidP="004326AE">
      <w:pPr>
        <w:spacing w:before="100" w:beforeAutospacing="1" w:after="0" w:line="240" w:lineRule="auto"/>
        <w:jc w:val="both"/>
        <w:rPr>
          <w:rFonts w:ascii="Times New Roman" w:eastAsia="Times New Roman" w:hAnsi="Times New Roman" w:cs="Times New Roman"/>
          <w:i/>
          <w:sz w:val="24"/>
          <w:szCs w:val="24"/>
          <w:lang w:eastAsia="fr-FR"/>
        </w:rPr>
      </w:pPr>
      <w:r w:rsidRPr="003B31F5">
        <w:rPr>
          <w:rFonts w:ascii="Times New Roman" w:eastAsia="Times New Roman" w:hAnsi="Times New Roman" w:cs="Times New Roman"/>
          <w:i/>
          <w:sz w:val="24"/>
          <w:szCs w:val="24"/>
          <w:lang w:eastAsia="fr-FR"/>
        </w:rPr>
        <w:t xml:space="preserve">L’évolution négative des bases sur les résidences secondaires pour 2024 s’expliquerait </w:t>
      </w:r>
      <w:r w:rsidR="00074BB6">
        <w:rPr>
          <w:rFonts w:ascii="Times New Roman" w:eastAsia="Times New Roman" w:hAnsi="Times New Roman" w:cs="Times New Roman"/>
          <w:i/>
          <w:sz w:val="24"/>
          <w:szCs w:val="24"/>
          <w:lang w:eastAsia="fr-FR"/>
        </w:rPr>
        <w:t>sans doute par plusieurs facteurs :</w:t>
      </w:r>
    </w:p>
    <w:p w:rsidR="00074BB6" w:rsidRPr="00074BB6" w:rsidRDefault="00074BB6" w:rsidP="00074BB6">
      <w:pPr>
        <w:pStyle w:val="Paragraphedeliste"/>
        <w:numPr>
          <w:ilvl w:val="0"/>
          <w:numId w:val="1"/>
        </w:numPr>
        <w:spacing w:before="100" w:beforeAutospacing="1" w:after="0" w:line="240" w:lineRule="auto"/>
        <w:jc w:val="both"/>
        <w:rPr>
          <w:rFonts w:ascii="Times New Roman" w:eastAsia="Times New Roman" w:hAnsi="Times New Roman" w:cs="Times New Roman"/>
          <w:i/>
          <w:sz w:val="24"/>
          <w:szCs w:val="24"/>
          <w:lang w:eastAsia="fr-FR"/>
        </w:rPr>
      </w:pPr>
      <w:r w:rsidRPr="00074BB6">
        <w:rPr>
          <w:rFonts w:ascii="Times New Roman" w:eastAsia="Times New Roman" w:hAnsi="Times New Roman" w:cs="Times New Roman"/>
          <w:i/>
          <w:sz w:val="24"/>
          <w:szCs w:val="24"/>
          <w:lang w:eastAsia="fr-FR"/>
        </w:rPr>
        <w:t>La base définitive THRS de 2023 : 12 531 577€ a été diminuée de l'ensemble des dégrèvements comptabilisés jusqu'à mi-janvier 2024 (621 662€), soit 11 909 915€ de bases 2024 à laquelle on a appliqué la revalorisation annuelle de 3.9% soit 12 374 000€ au final.</w:t>
      </w:r>
    </w:p>
    <w:p w:rsidR="003B31F5" w:rsidRDefault="003B31F5" w:rsidP="00074BB6">
      <w:pPr>
        <w:pStyle w:val="Paragraphedeliste"/>
        <w:numPr>
          <w:ilvl w:val="0"/>
          <w:numId w:val="1"/>
        </w:numPr>
        <w:spacing w:before="100" w:beforeAutospacing="1" w:after="0" w:line="240" w:lineRule="auto"/>
        <w:jc w:val="both"/>
        <w:rPr>
          <w:rFonts w:ascii="Times New Roman" w:eastAsia="Times New Roman" w:hAnsi="Times New Roman" w:cs="Times New Roman"/>
          <w:i/>
          <w:sz w:val="24"/>
          <w:szCs w:val="24"/>
          <w:lang w:eastAsia="fr-FR"/>
        </w:rPr>
      </w:pPr>
      <w:proofErr w:type="gramStart"/>
      <w:r w:rsidRPr="00074BB6">
        <w:rPr>
          <w:rFonts w:ascii="Times New Roman" w:eastAsia="Times New Roman" w:hAnsi="Times New Roman" w:cs="Times New Roman"/>
          <w:i/>
          <w:sz w:val="24"/>
          <w:szCs w:val="24"/>
          <w:lang w:eastAsia="fr-FR"/>
        </w:rPr>
        <w:t>par</w:t>
      </w:r>
      <w:proofErr w:type="gramEnd"/>
      <w:r w:rsidRPr="00074BB6">
        <w:rPr>
          <w:rFonts w:ascii="Times New Roman" w:eastAsia="Times New Roman" w:hAnsi="Times New Roman" w:cs="Times New Roman"/>
          <w:i/>
          <w:sz w:val="24"/>
          <w:szCs w:val="24"/>
          <w:lang w:eastAsia="fr-FR"/>
        </w:rPr>
        <w:t xml:space="preserve"> des choix par les contribuables de déclarer leur résidence principale sur le Pays d’Iroise et de passer en résidence secondaire leur habitation extérieure à celui-ci. Il s’agit d’une optimisation fiscale reposant sur un régime déclaratif des ménages concernés. Ce phénomène pourrait se poursuivre en 2024 avec l’évolution des majorations de TH sur les résidences secondaires.</w:t>
      </w:r>
    </w:p>
    <w:p w:rsidR="001D5FC3" w:rsidRPr="00074BB6" w:rsidRDefault="001D5FC3" w:rsidP="00074BB6">
      <w:pPr>
        <w:pStyle w:val="Paragraphedeliste"/>
        <w:numPr>
          <w:ilvl w:val="0"/>
          <w:numId w:val="1"/>
        </w:numPr>
        <w:spacing w:before="100" w:beforeAutospacing="1" w:after="0" w:line="240" w:lineRule="auto"/>
        <w:jc w:val="both"/>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t>Par le passage en CFE de locations touristiques précédemment en taxe d’habitation.</w:t>
      </w:r>
    </w:p>
    <w:p w:rsidR="004326AE" w:rsidRPr="004326AE" w:rsidRDefault="004326AE" w:rsidP="004326AE">
      <w:pPr>
        <w:spacing w:before="100" w:beforeAutospacing="1"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Au regard des</w:t>
      </w:r>
      <w:r w:rsidRPr="004326AE">
        <w:rPr>
          <w:rFonts w:ascii="Times New Roman" w:eastAsia="Times New Roman" w:hAnsi="Times New Roman" w:cs="Times New Roman"/>
          <w:sz w:val="24"/>
          <w:szCs w:val="24"/>
          <w:lang w:eastAsia="fr-FR"/>
        </w:rPr>
        <w:t xml:space="preserve"> engagements pris en matière de fiscalité </w:t>
      </w:r>
      <w:r>
        <w:rPr>
          <w:rFonts w:ascii="Times New Roman" w:eastAsia="Times New Roman" w:hAnsi="Times New Roman" w:cs="Times New Roman"/>
          <w:sz w:val="24"/>
          <w:szCs w:val="24"/>
          <w:lang w:eastAsia="fr-FR"/>
        </w:rPr>
        <w:t xml:space="preserve">portant sur les impôts locaux historiques </w:t>
      </w:r>
      <w:r w:rsidRPr="004326AE">
        <w:rPr>
          <w:rFonts w:ascii="Times New Roman" w:eastAsia="Times New Roman" w:hAnsi="Times New Roman" w:cs="Times New Roman"/>
          <w:sz w:val="24"/>
          <w:szCs w:val="24"/>
          <w:lang w:eastAsia="fr-FR"/>
        </w:rPr>
        <w:t>et l</w:t>
      </w:r>
      <w:r>
        <w:rPr>
          <w:rFonts w:ascii="Times New Roman" w:eastAsia="Times New Roman" w:hAnsi="Times New Roman" w:cs="Times New Roman"/>
          <w:sz w:val="24"/>
          <w:szCs w:val="24"/>
          <w:lang w:eastAsia="fr-FR"/>
        </w:rPr>
        <w:t>’objectif de maintien d’une</w:t>
      </w:r>
      <w:r w:rsidRPr="004326AE">
        <w:rPr>
          <w:rFonts w:ascii="Times New Roman" w:eastAsia="Times New Roman" w:hAnsi="Times New Roman" w:cs="Times New Roman"/>
          <w:sz w:val="24"/>
          <w:szCs w:val="24"/>
          <w:lang w:eastAsia="fr-FR"/>
        </w:rPr>
        <w:t xml:space="preserve"> bonne santé financière</w:t>
      </w:r>
      <w:r>
        <w:rPr>
          <w:rFonts w:ascii="Times New Roman" w:eastAsia="Times New Roman" w:hAnsi="Times New Roman" w:cs="Times New Roman"/>
          <w:sz w:val="24"/>
          <w:szCs w:val="24"/>
          <w:lang w:eastAsia="fr-FR"/>
        </w:rPr>
        <w:t xml:space="preserve">, il n’est pas prévu </w:t>
      </w:r>
      <w:r w:rsidRPr="004326AE">
        <w:rPr>
          <w:rFonts w:ascii="Times New Roman" w:eastAsia="Times New Roman" w:hAnsi="Times New Roman" w:cs="Times New Roman"/>
          <w:sz w:val="24"/>
          <w:szCs w:val="24"/>
          <w:lang w:eastAsia="fr-FR"/>
        </w:rPr>
        <w:t>de recourir dans l’immédiat</w:t>
      </w:r>
      <w:r>
        <w:rPr>
          <w:rFonts w:ascii="Times New Roman" w:eastAsia="Times New Roman" w:hAnsi="Times New Roman" w:cs="Times New Roman"/>
          <w:sz w:val="24"/>
          <w:szCs w:val="24"/>
          <w:lang w:eastAsia="fr-FR"/>
        </w:rPr>
        <w:t xml:space="preserve"> à tout le moins</w:t>
      </w:r>
      <w:r w:rsidRPr="004326AE">
        <w:rPr>
          <w:rFonts w:ascii="Times New Roman" w:eastAsia="Times New Roman" w:hAnsi="Times New Roman" w:cs="Times New Roman"/>
          <w:sz w:val="24"/>
          <w:szCs w:val="24"/>
          <w:lang w:eastAsia="fr-FR"/>
        </w:rPr>
        <w:t xml:space="preserve"> au levier fiscal s’agissant des taxes foncières, de la CFE ou de la THRS.</w:t>
      </w:r>
    </w:p>
    <w:p w:rsidR="004326AE" w:rsidRDefault="004326AE" w:rsidP="004326AE">
      <w:pPr>
        <w:spacing w:before="100" w:beforeAutospacing="1"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w:t>
      </w:r>
      <w:r w:rsidRPr="004326AE">
        <w:rPr>
          <w:rFonts w:ascii="Times New Roman" w:eastAsia="Times New Roman" w:hAnsi="Times New Roman" w:cs="Times New Roman"/>
          <w:sz w:val="24"/>
          <w:szCs w:val="24"/>
          <w:lang w:eastAsia="fr-FR"/>
        </w:rPr>
        <w:t>n 2024</w:t>
      </w:r>
      <w:r>
        <w:rPr>
          <w:rFonts w:ascii="Times New Roman" w:eastAsia="Times New Roman" w:hAnsi="Times New Roman" w:cs="Times New Roman"/>
          <w:sz w:val="24"/>
          <w:szCs w:val="24"/>
          <w:lang w:eastAsia="fr-FR"/>
        </w:rPr>
        <w:t>,</w:t>
      </w:r>
      <w:r w:rsidRPr="004326AE">
        <w:rPr>
          <w:rFonts w:ascii="Times New Roman" w:eastAsia="Times New Roman" w:hAnsi="Times New Roman" w:cs="Times New Roman"/>
          <w:sz w:val="24"/>
          <w:szCs w:val="24"/>
          <w:lang w:eastAsia="fr-FR"/>
        </w:rPr>
        <w:t xml:space="preserve"> les taux d’imposition de la Communauté de Communes, </w:t>
      </w:r>
      <w:r>
        <w:rPr>
          <w:rFonts w:ascii="Times New Roman" w:eastAsia="Times New Roman" w:hAnsi="Times New Roman" w:cs="Times New Roman"/>
          <w:sz w:val="24"/>
          <w:szCs w:val="24"/>
          <w:lang w:eastAsia="fr-FR"/>
        </w:rPr>
        <w:t xml:space="preserve">resteraient ainsi </w:t>
      </w:r>
      <w:r w:rsidRPr="004326AE">
        <w:rPr>
          <w:rFonts w:ascii="Times New Roman" w:eastAsia="Times New Roman" w:hAnsi="Times New Roman" w:cs="Times New Roman"/>
          <w:sz w:val="24"/>
          <w:szCs w:val="24"/>
          <w:lang w:eastAsia="fr-FR"/>
        </w:rPr>
        <w:t>inchangés depuis 2011</w:t>
      </w:r>
      <w:r>
        <w:rPr>
          <w:rFonts w:ascii="Times New Roman" w:eastAsia="Times New Roman" w:hAnsi="Times New Roman" w:cs="Times New Roman"/>
          <w:sz w:val="24"/>
          <w:szCs w:val="24"/>
          <w:lang w:eastAsia="fr-FR"/>
        </w:rPr>
        <w:t xml:space="preserve"> comme suit</w:t>
      </w:r>
      <w:r w:rsidRPr="004326AE">
        <w:rPr>
          <w:rFonts w:ascii="Times New Roman" w:eastAsia="Times New Roman" w:hAnsi="Times New Roman" w:cs="Times New Roman"/>
          <w:sz w:val="24"/>
          <w:szCs w:val="24"/>
          <w:lang w:eastAsia="fr-FR"/>
        </w:rPr>
        <w:t xml:space="preserve"> :</w:t>
      </w:r>
    </w:p>
    <w:p w:rsidR="005577FF" w:rsidRDefault="005577FF" w:rsidP="004326AE">
      <w:pPr>
        <w:spacing w:before="100" w:beforeAutospacing="1" w:after="0" w:line="240" w:lineRule="auto"/>
        <w:jc w:val="both"/>
        <w:rPr>
          <w:rFonts w:ascii="Times New Roman" w:eastAsia="Times New Roman" w:hAnsi="Times New Roman" w:cs="Times New Roman"/>
          <w:sz w:val="24"/>
          <w:szCs w:val="24"/>
          <w:lang w:eastAsia="fr-FR"/>
        </w:rPr>
      </w:pPr>
    </w:p>
    <w:tbl>
      <w:tblPr>
        <w:tblW w:w="3596" w:type="pct"/>
        <w:jc w:val="center"/>
        <w:tblCellSpacing w:w="0" w:type="dxa"/>
        <w:tblCellMar>
          <w:top w:w="60" w:type="dxa"/>
          <w:left w:w="60" w:type="dxa"/>
          <w:bottom w:w="60" w:type="dxa"/>
          <w:right w:w="60" w:type="dxa"/>
        </w:tblCellMar>
        <w:tblLook w:val="04A0" w:firstRow="1" w:lastRow="0" w:firstColumn="1" w:lastColumn="0" w:noHBand="0" w:noVBand="1"/>
      </w:tblPr>
      <w:tblGrid>
        <w:gridCol w:w="4528"/>
        <w:gridCol w:w="1985"/>
      </w:tblGrid>
      <w:tr w:rsidR="004326AE" w:rsidRPr="004326AE" w:rsidTr="00737EEC">
        <w:trPr>
          <w:tblCellSpacing w:w="0" w:type="dxa"/>
          <w:jc w:val="center"/>
        </w:trPr>
        <w:tc>
          <w:tcPr>
            <w:tcW w:w="3476"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4326AE" w:rsidRPr="004326AE" w:rsidRDefault="004326AE" w:rsidP="004326AE">
            <w:pPr>
              <w:spacing w:before="100" w:beforeAutospacing="1" w:after="142" w:line="288" w:lineRule="auto"/>
              <w:jc w:val="both"/>
              <w:rPr>
                <w:rFonts w:ascii="Times New Roman" w:eastAsia="Times New Roman" w:hAnsi="Times New Roman" w:cs="Times New Roman"/>
                <w:sz w:val="24"/>
                <w:szCs w:val="24"/>
                <w:lang w:eastAsia="fr-FR"/>
              </w:rPr>
            </w:pPr>
            <w:r w:rsidRPr="004326AE">
              <w:rPr>
                <w:rFonts w:ascii="Times New Roman" w:eastAsia="Times New Roman" w:hAnsi="Times New Roman" w:cs="Times New Roman"/>
                <w:sz w:val="24"/>
                <w:szCs w:val="24"/>
                <w:lang w:eastAsia="fr-FR"/>
              </w:rPr>
              <w:t>Taxe d’habitation (résidences secondaires)</w:t>
            </w:r>
          </w:p>
        </w:tc>
        <w:tc>
          <w:tcPr>
            <w:tcW w:w="1524"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4326AE" w:rsidRPr="004326AE" w:rsidRDefault="004326AE" w:rsidP="004326AE">
            <w:pPr>
              <w:spacing w:before="100" w:beforeAutospacing="1" w:after="142" w:line="288" w:lineRule="auto"/>
              <w:jc w:val="center"/>
              <w:rPr>
                <w:rFonts w:ascii="Times New Roman" w:eastAsia="Times New Roman" w:hAnsi="Times New Roman" w:cs="Times New Roman"/>
                <w:sz w:val="24"/>
                <w:szCs w:val="24"/>
                <w:lang w:eastAsia="fr-FR"/>
              </w:rPr>
            </w:pPr>
            <w:r w:rsidRPr="004326AE">
              <w:rPr>
                <w:rFonts w:ascii="Times New Roman" w:eastAsia="Times New Roman" w:hAnsi="Times New Roman" w:cs="Times New Roman"/>
                <w:sz w:val="24"/>
                <w:szCs w:val="24"/>
                <w:lang w:eastAsia="fr-FR"/>
              </w:rPr>
              <w:t>10,12 %</w:t>
            </w:r>
          </w:p>
        </w:tc>
      </w:tr>
      <w:tr w:rsidR="004326AE" w:rsidRPr="004326AE" w:rsidTr="00737EEC">
        <w:trPr>
          <w:tblCellSpacing w:w="0" w:type="dxa"/>
          <w:jc w:val="center"/>
        </w:trPr>
        <w:tc>
          <w:tcPr>
            <w:tcW w:w="3476" w:type="pct"/>
            <w:tcBorders>
              <w:top w:val="nil"/>
              <w:left w:val="single" w:sz="6" w:space="0" w:color="000000"/>
              <w:bottom w:val="single" w:sz="6" w:space="0" w:color="000000"/>
              <w:right w:val="nil"/>
            </w:tcBorders>
            <w:tcMar>
              <w:top w:w="0" w:type="dxa"/>
              <w:left w:w="57" w:type="dxa"/>
              <w:bottom w:w="57" w:type="dxa"/>
              <w:right w:w="0" w:type="dxa"/>
            </w:tcMar>
            <w:hideMark/>
          </w:tcPr>
          <w:p w:rsidR="004326AE" w:rsidRPr="004326AE" w:rsidRDefault="004326AE" w:rsidP="004326AE">
            <w:pPr>
              <w:spacing w:before="100" w:beforeAutospacing="1" w:after="142" w:line="288" w:lineRule="auto"/>
              <w:jc w:val="both"/>
              <w:rPr>
                <w:rFonts w:ascii="Times New Roman" w:eastAsia="Times New Roman" w:hAnsi="Times New Roman" w:cs="Times New Roman"/>
                <w:sz w:val="24"/>
                <w:szCs w:val="24"/>
                <w:lang w:eastAsia="fr-FR"/>
              </w:rPr>
            </w:pPr>
            <w:r w:rsidRPr="004326AE">
              <w:rPr>
                <w:rFonts w:ascii="Times New Roman" w:eastAsia="Times New Roman" w:hAnsi="Times New Roman" w:cs="Times New Roman"/>
                <w:sz w:val="24"/>
                <w:szCs w:val="24"/>
                <w:lang w:eastAsia="fr-FR"/>
              </w:rPr>
              <w:t>Cotisation foncière des entreprises</w:t>
            </w:r>
          </w:p>
        </w:tc>
        <w:tc>
          <w:tcPr>
            <w:tcW w:w="1524"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4326AE" w:rsidRPr="004326AE" w:rsidRDefault="004326AE" w:rsidP="004326AE">
            <w:pPr>
              <w:spacing w:before="100" w:beforeAutospacing="1" w:after="142" w:line="288" w:lineRule="auto"/>
              <w:jc w:val="center"/>
              <w:rPr>
                <w:rFonts w:ascii="Times New Roman" w:eastAsia="Times New Roman" w:hAnsi="Times New Roman" w:cs="Times New Roman"/>
                <w:sz w:val="24"/>
                <w:szCs w:val="24"/>
                <w:lang w:eastAsia="fr-FR"/>
              </w:rPr>
            </w:pPr>
            <w:r w:rsidRPr="004326AE">
              <w:rPr>
                <w:rFonts w:ascii="Times New Roman" w:eastAsia="Times New Roman" w:hAnsi="Times New Roman" w:cs="Times New Roman"/>
                <w:sz w:val="24"/>
                <w:szCs w:val="24"/>
                <w:lang w:eastAsia="fr-FR"/>
              </w:rPr>
              <w:t>24,52 %</w:t>
            </w:r>
          </w:p>
        </w:tc>
      </w:tr>
      <w:tr w:rsidR="004326AE" w:rsidRPr="004326AE" w:rsidTr="00737EEC">
        <w:trPr>
          <w:tblCellSpacing w:w="0" w:type="dxa"/>
          <w:jc w:val="center"/>
        </w:trPr>
        <w:tc>
          <w:tcPr>
            <w:tcW w:w="3476" w:type="pct"/>
            <w:tcBorders>
              <w:top w:val="nil"/>
              <w:left w:val="single" w:sz="6" w:space="0" w:color="000000"/>
              <w:bottom w:val="single" w:sz="6" w:space="0" w:color="000000"/>
              <w:right w:val="nil"/>
            </w:tcBorders>
            <w:tcMar>
              <w:top w:w="0" w:type="dxa"/>
              <w:left w:w="57" w:type="dxa"/>
              <w:bottom w:w="57" w:type="dxa"/>
              <w:right w:w="0" w:type="dxa"/>
            </w:tcMar>
            <w:hideMark/>
          </w:tcPr>
          <w:p w:rsidR="004326AE" w:rsidRPr="004326AE" w:rsidRDefault="004326AE" w:rsidP="004326AE">
            <w:pPr>
              <w:spacing w:before="100" w:beforeAutospacing="1" w:after="142" w:line="288" w:lineRule="auto"/>
              <w:jc w:val="both"/>
              <w:rPr>
                <w:rFonts w:ascii="Times New Roman" w:eastAsia="Times New Roman" w:hAnsi="Times New Roman" w:cs="Times New Roman"/>
                <w:sz w:val="24"/>
                <w:szCs w:val="24"/>
                <w:lang w:eastAsia="fr-FR"/>
              </w:rPr>
            </w:pPr>
            <w:r w:rsidRPr="004326AE">
              <w:rPr>
                <w:rFonts w:ascii="Times New Roman" w:eastAsia="Times New Roman" w:hAnsi="Times New Roman" w:cs="Times New Roman"/>
                <w:sz w:val="24"/>
                <w:szCs w:val="24"/>
                <w:lang w:eastAsia="fr-FR"/>
              </w:rPr>
              <w:t>Taxe foncière (non bâti)</w:t>
            </w:r>
          </w:p>
        </w:tc>
        <w:tc>
          <w:tcPr>
            <w:tcW w:w="1524"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4326AE" w:rsidRPr="004326AE" w:rsidRDefault="004326AE" w:rsidP="004326AE">
            <w:pPr>
              <w:spacing w:before="100" w:beforeAutospacing="1" w:after="142" w:line="288" w:lineRule="auto"/>
              <w:jc w:val="center"/>
              <w:rPr>
                <w:rFonts w:ascii="Times New Roman" w:eastAsia="Times New Roman" w:hAnsi="Times New Roman" w:cs="Times New Roman"/>
                <w:sz w:val="24"/>
                <w:szCs w:val="24"/>
                <w:lang w:eastAsia="fr-FR"/>
              </w:rPr>
            </w:pPr>
            <w:r w:rsidRPr="004326AE">
              <w:rPr>
                <w:rFonts w:ascii="Times New Roman" w:eastAsia="Times New Roman" w:hAnsi="Times New Roman" w:cs="Times New Roman"/>
                <w:sz w:val="24"/>
                <w:szCs w:val="24"/>
                <w:lang w:eastAsia="fr-FR"/>
              </w:rPr>
              <w:t>2,20 %</w:t>
            </w:r>
          </w:p>
        </w:tc>
      </w:tr>
    </w:tbl>
    <w:p w:rsidR="002D0278" w:rsidRDefault="006527C7" w:rsidP="002D0278">
      <w:pPr>
        <w:pStyle w:val="western"/>
        <w:spacing w:after="0" w:line="240" w:lineRule="auto"/>
      </w:pPr>
      <w:r>
        <w:t xml:space="preserve">Pour rappel, les bases d’imposition évoluent en application de la Loi de Finances de 3.86%. </w:t>
      </w:r>
    </w:p>
    <w:p w:rsidR="00CA36B0" w:rsidRPr="00CA36B0" w:rsidRDefault="00CA36B0" w:rsidP="00643A11">
      <w:pPr>
        <w:pStyle w:val="western"/>
        <w:shd w:val="clear" w:color="auto" w:fill="FBE4D5" w:themeFill="accent2" w:themeFillTint="33"/>
        <w:spacing w:after="0" w:line="240" w:lineRule="auto"/>
        <w:rPr>
          <w:b/>
        </w:rPr>
      </w:pPr>
      <w:r w:rsidRPr="00CA36B0">
        <w:rPr>
          <w:b/>
        </w:rPr>
        <w:t>TASCOM</w:t>
      </w:r>
    </w:p>
    <w:p w:rsidR="00803353" w:rsidRDefault="004C3968" w:rsidP="00803353">
      <w:pPr>
        <w:pStyle w:val="western"/>
        <w:spacing w:after="0" w:line="240" w:lineRule="auto"/>
      </w:pPr>
      <w:r>
        <w:t>L</w:t>
      </w:r>
      <w:r w:rsidR="00072B13" w:rsidRPr="00072B13">
        <w:t>e taux de TASCOM</w:t>
      </w:r>
      <w:r w:rsidR="00CA36B0">
        <w:t xml:space="preserve"> est réévalué </w:t>
      </w:r>
      <w:r w:rsidR="00072B13" w:rsidRPr="00072B13">
        <w:t>de 5% afin de favoriser l’action économique communautaire.</w:t>
      </w:r>
      <w:r w:rsidR="00CA36B0">
        <w:t xml:space="preserve"> Le produit lié à cette évolution </w:t>
      </w:r>
      <w:r w:rsidR="005530F3">
        <w:t xml:space="preserve">devait </w:t>
      </w:r>
      <w:r w:rsidR="00CA36B0">
        <w:t>progresser</w:t>
      </w:r>
      <w:r w:rsidR="005530F3">
        <w:t xml:space="preserve"> </w:t>
      </w:r>
      <w:r w:rsidR="00CA36B0">
        <w:t>de l’ordre de 45 K€</w:t>
      </w:r>
      <w:r w:rsidR="005530F3">
        <w:t xml:space="preserve"> sur la base du produit notifiée en 2023.</w:t>
      </w:r>
      <w:r w:rsidR="00803353">
        <w:t xml:space="preserve"> Cependant, la DDFIP 29 a procédé pour 2024 à des rattrapages sur années antérieures (environ 17.500€ en 2023), à laquelle sont appliqués les nouveaux coefficients votés, soit +5% (+41 700€ environ). Il en résulte une hausse inférieure à l’évolution cible de 5% : 852 273€ - 18 000€ + 41 000€ = 876 473€ proche des 876 445€ notifiés avec l'état 1259.</w:t>
      </w:r>
    </w:p>
    <w:p w:rsidR="006527C7" w:rsidRDefault="00803353" w:rsidP="00803353">
      <w:pPr>
        <w:pStyle w:val="western"/>
        <w:spacing w:after="0" w:line="240" w:lineRule="auto"/>
      </w:pPr>
      <w:r>
        <w:t>La TASCOM définitive 2024 prendra en compte sans doute d'autres rattrapages.</w:t>
      </w:r>
    </w:p>
    <w:p w:rsidR="00072B13" w:rsidRPr="00CA36B0" w:rsidRDefault="00CA36B0" w:rsidP="00643A11">
      <w:pPr>
        <w:pStyle w:val="western"/>
        <w:shd w:val="clear" w:color="auto" w:fill="FBE4D5" w:themeFill="accent2" w:themeFillTint="33"/>
        <w:spacing w:after="0" w:line="240" w:lineRule="auto"/>
        <w:rPr>
          <w:b/>
        </w:rPr>
      </w:pPr>
      <w:r w:rsidRPr="00CA36B0">
        <w:rPr>
          <w:b/>
        </w:rPr>
        <w:t>TAXE DE SEJOUR</w:t>
      </w:r>
    </w:p>
    <w:p w:rsidR="00072B13" w:rsidRDefault="00072B13" w:rsidP="002D0278">
      <w:pPr>
        <w:pStyle w:val="western"/>
        <w:spacing w:after="0" w:line="240" w:lineRule="auto"/>
      </w:pPr>
      <w:r>
        <w:t>Reversement taxe de séjour : 576 835 € en 2024 prévu à la l’office de tourisme</w:t>
      </w:r>
      <w:r w:rsidR="00107955">
        <w:t>. A cela, il convient d’ajouter le produit reversé au conseil départemental (10% : 64 K€)</w:t>
      </w:r>
    </w:p>
    <w:p w:rsidR="00072B13" w:rsidRDefault="00107955" w:rsidP="002D0278">
      <w:pPr>
        <w:pStyle w:val="western"/>
        <w:spacing w:after="0" w:line="240" w:lineRule="auto"/>
      </w:pPr>
      <w:r>
        <w:t xml:space="preserve">Pour 2024, le produit inscrit s’affiche à hauteur de 640 K€. </w:t>
      </w:r>
    </w:p>
    <w:p w:rsidR="002D0278" w:rsidRPr="002D0278" w:rsidRDefault="00BD0FE3" w:rsidP="00643A11">
      <w:pPr>
        <w:pStyle w:val="western"/>
        <w:shd w:val="clear" w:color="auto" w:fill="FBE4D5" w:themeFill="accent2" w:themeFillTint="33"/>
        <w:spacing w:after="0" w:line="240" w:lineRule="auto"/>
        <w:rPr>
          <w:b/>
        </w:rPr>
      </w:pPr>
      <w:r w:rsidRPr="002D0278">
        <w:rPr>
          <w:b/>
        </w:rPr>
        <w:t>TAXE GEMAPI ET DEFINITION DU PRODUIT ATTENDU</w:t>
      </w:r>
    </w:p>
    <w:p w:rsidR="002D0278" w:rsidRDefault="002D0278" w:rsidP="002D0278">
      <w:pPr>
        <w:pStyle w:val="western"/>
        <w:spacing w:after="0" w:line="240" w:lineRule="auto"/>
      </w:pPr>
      <w:r>
        <w:t xml:space="preserve">Par délibération CC n°2023_09_08 du 27 septembre 2023, le conseil communautaire a institué la contribution pour la </w:t>
      </w:r>
      <w:proofErr w:type="spellStart"/>
      <w:r>
        <w:t>Gemapi</w:t>
      </w:r>
      <w:proofErr w:type="spellEnd"/>
      <w:r>
        <w:t xml:space="preserve"> à compter du 1er janvier 2024. Il convient au moment du budget d’en fixer le produit attendu. </w:t>
      </w:r>
    </w:p>
    <w:p w:rsidR="002D0278" w:rsidRPr="002D0278" w:rsidRDefault="002D0278" w:rsidP="002D0278">
      <w:pPr>
        <w:spacing w:before="100" w:beforeAutospacing="1" w:after="0" w:line="240" w:lineRule="auto"/>
        <w:ind w:left="11" w:right="6"/>
        <w:jc w:val="both"/>
        <w:rPr>
          <w:rFonts w:ascii="Times New Roman" w:eastAsia="Times New Roman" w:hAnsi="Times New Roman" w:cs="Times New Roman"/>
          <w:sz w:val="24"/>
          <w:szCs w:val="24"/>
          <w:lang w:eastAsia="fr-FR"/>
        </w:rPr>
      </w:pPr>
      <w:r w:rsidRPr="002D0278">
        <w:rPr>
          <w:rFonts w:ascii="Times New Roman" w:eastAsia="Times New Roman" w:hAnsi="Times New Roman" w:cs="Times New Roman"/>
          <w:sz w:val="24"/>
          <w:szCs w:val="24"/>
          <w:lang w:eastAsia="fr-FR"/>
        </w:rPr>
        <w:t xml:space="preserve">Pour 2024, sur la base du budget prévisionnel 2024, le besoin de financement se détermine de la façon suivante : </w:t>
      </w:r>
    </w:p>
    <w:p w:rsidR="002D0278" w:rsidRPr="002D0278" w:rsidRDefault="002D0278" w:rsidP="002D0278">
      <w:pPr>
        <w:spacing w:before="100" w:beforeAutospacing="1" w:after="0" w:line="240" w:lineRule="auto"/>
        <w:ind w:left="993" w:right="6"/>
        <w:jc w:val="both"/>
        <w:rPr>
          <w:rFonts w:ascii="Times New Roman" w:eastAsia="Times New Roman" w:hAnsi="Times New Roman" w:cs="Times New Roman"/>
          <w:sz w:val="24"/>
          <w:szCs w:val="24"/>
          <w:lang w:eastAsia="fr-FR"/>
        </w:rPr>
      </w:pPr>
      <w:r w:rsidRPr="002D0278">
        <w:rPr>
          <w:rFonts w:ascii="Times New Roman" w:eastAsia="Times New Roman" w:hAnsi="Times New Roman" w:cs="Times New Roman"/>
          <w:sz w:val="24"/>
          <w:szCs w:val="24"/>
          <w:lang w:eastAsia="fr-FR"/>
        </w:rPr>
        <w:t>• Pour le fonctionnement, les dépenses sont prévues à hauteur de 290 500 €, dont 190 385 € pour les dépenses de personnel. Les recettes estimées représentent 49 500 €. Il en résulte un besoin de financement estimé à 241 000 €.</w:t>
      </w:r>
    </w:p>
    <w:p w:rsidR="004326AE" w:rsidRDefault="002D0278" w:rsidP="002D0278">
      <w:pPr>
        <w:spacing w:before="100" w:beforeAutospacing="1" w:after="0" w:line="240" w:lineRule="auto"/>
        <w:ind w:left="993" w:right="6"/>
        <w:jc w:val="both"/>
        <w:rPr>
          <w:rFonts w:ascii="Times New Roman" w:eastAsia="Times New Roman" w:hAnsi="Times New Roman" w:cs="Times New Roman"/>
          <w:sz w:val="24"/>
          <w:szCs w:val="24"/>
          <w:lang w:eastAsia="fr-FR"/>
        </w:rPr>
      </w:pPr>
      <w:r w:rsidRPr="002D0278">
        <w:rPr>
          <w:rFonts w:ascii="Times New Roman" w:eastAsia="Times New Roman" w:hAnsi="Times New Roman" w:cs="Times New Roman"/>
          <w:sz w:val="24"/>
          <w:szCs w:val="24"/>
          <w:lang w:eastAsia="fr-FR"/>
        </w:rPr>
        <w:t>• Pour l’investissement, le programme de dépenses pour 2023 s’élève à 1 036 320 €. Les recettes estimées sont évaluées à 487 000 €, soit un besoin de financement arrondi à 550 000 €.</w:t>
      </w:r>
    </w:p>
    <w:p w:rsidR="003967D3" w:rsidRDefault="002D0278" w:rsidP="004326AE">
      <w:pPr>
        <w:spacing w:before="100" w:beforeAutospacing="1" w:after="0" w:line="240" w:lineRule="auto"/>
        <w:ind w:left="11" w:right="6"/>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Conformément aux orientations du DOB, le </w:t>
      </w:r>
      <w:r w:rsidRPr="002D0278">
        <w:rPr>
          <w:rFonts w:ascii="Times New Roman" w:eastAsia="Times New Roman" w:hAnsi="Times New Roman" w:cs="Times New Roman"/>
          <w:sz w:val="24"/>
          <w:szCs w:val="24"/>
          <w:lang w:eastAsia="fr-FR"/>
        </w:rPr>
        <w:t xml:space="preserve">produit de la taxe pour la gestion des milieux aquatiques et la prévention des inondations </w:t>
      </w:r>
      <w:r>
        <w:rPr>
          <w:rFonts w:ascii="Times New Roman" w:eastAsia="Times New Roman" w:hAnsi="Times New Roman" w:cs="Times New Roman"/>
          <w:sz w:val="24"/>
          <w:szCs w:val="24"/>
          <w:lang w:eastAsia="fr-FR"/>
        </w:rPr>
        <w:t xml:space="preserve">est fixé à </w:t>
      </w:r>
      <w:r w:rsidRPr="002D0278">
        <w:rPr>
          <w:rFonts w:ascii="Times New Roman" w:eastAsia="Times New Roman" w:hAnsi="Times New Roman" w:cs="Times New Roman"/>
          <w:sz w:val="24"/>
          <w:szCs w:val="24"/>
          <w:lang w:eastAsia="fr-FR"/>
        </w:rPr>
        <w:t>400 000 € pour l’année 2024</w:t>
      </w:r>
      <w:r>
        <w:rPr>
          <w:rFonts w:ascii="Times New Roman" w:eastAsia="Times New Roman" w:hAnsi="Times New Roman" w:cs="Times New Roman"/>
          <w:sz w:val="24"/>
          <w:szCs w:val="24"/>
          <w:lang w:eastAsia="fr-FR"/>
        </w:rPr>
        <w:t>.</w:t>
      </w:r>
    </w:p>
    <w:p w:rsidR="00642DBB" w:rsidRPr="00642DBB" w:rsidRDefault="00642DBB" w:rsidP="00642DBB">
      <w:pPr>
        <w:shd w:val="clear" w:color="auto" w:fill="FBE4D5" w:themeFill="accent2" w:themeFillTint="33"/>
        <w:spacing w:before="100" w:beforeAutospacing="1" w:after="0" w:line="240" w:lineRule="auto"/>
        <w:ind w:left="11" w:right="6"/>
        <w:jc w:val="both"/>
        <w:rPr>
          <w:rFonts w:ascii="Times New Roman" w:eastAsia="Times New Roman" w:hAnsi="Times New Roman" w:cs="Times New Roman"/>
          <w:b/>
          <w:sz w:val="24"/>
          <w:szCs w:val="24"/>
          <w:lang w:eastAsia="fr-FR"/>
        </w:rPr>
      </w:pPr>
      <w:r w:rsidRPr="00642DBB">
        <w:rPr>
          <w:rFonts w:ascii="Times New Roman" w:eastAsia="Times New Roman" w:hAnsi="Times New Roman" w:cs="Times New Roman"/>
          <w:b/>
          <w:sz w:val="24"/>
          <w:szCs w:val="24"/>
          <w:lang w:eastAsia="fr-FR"/>
        </w:rPr>
        <w:t>ATTRIBUTION DE COMPENSATION</w:t>
      </w:r>
    </w:p>
    <w:p w:rsidR="002D0278" w:rsidRDefault="00642DBB" w:rsidP="004326AE">
      <w:pPr>
        <w:spacing w:before="100" w:beforeAutospacing="1" w:after="0" w:line="240" w:lineRule="auto"/>
        <w:ind w:left="11" w:right="6"/>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L’attribution de compensation voit à assurer une neutralisation des charges transférées au moment du transfert de compétences ou de fiscalité. Y est également intégrée le coût des services mutualisés comme l’hygiène et la sécurité, le RPAM, l’informatique et le PLU et la partie RH.</w:t>
      </w:r>
    </w:p>
    <w:p w:rsidR="00642DBB" w:rsidRDefault="00642DBB" w:rsidP="004326AE">
      <w:pPr>
        <w:spacing w:before="100" w:beforeAutospacing="1" w:after="0" w:line="240" w:lineRule="auto"/>
        <w:ind w:left="11" w:right="6"/>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montant global de l’AC est pour 2024 évalué comme suit :</w:t>
      </w:r>
    </w:p>
    <w:p w:rsidR="00642DBB" w:rsidRDefault="00642DBB" w:rsidP="00642DBB">
      <w:pPr>
        <w:pStyle w:val="Paragraphedeliste"/>
        <w:numPr>
          <w:ilvl w:val="0"/>
          <w:numId w:val="1"/>
        </w:numPr>
        <w:spacing w:before="100" w:beforeAutospacing="1" w:after="0" w:line="240" w:lineRule="auto"/>
        <w:ind w:right="6"/>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Attribution fixe en versement aux communes à hauteur de 741 079.94 € et en versement à la communauté à hauteur de 555</w:t>
      </w:r>
      <w:r w:rsidR="006B6F81">
        <w:rPr>
          <w:rFonts w:ascii="Times New Roman" w:eastAsia="Times New Roman" w:hAnsi="Times New Roman" w:cs="Times New Roman"/>
          <w:sz w:val="24"/>
          <w:szCs w:val="24"/>
          <w:lang w:eastAsia="fr-FR"/>
        </w:rPr>
        <w:t> 973.77</w:t>
      </w:r>
      <w:r>
        <w:rPr>
          <w:rFonts w:ascii="Times New Roman" w:eastAsia="Times New Roman" w:hAnsi="Times New Roman" w:cs="Times New Roman"/>
          <w:sz w:val="24"/>
          <w:szCs w:val="24"/>
          <w:lang w:eastAsia="fr-FR"/>
        </w:rPr>
        <w:t xml:space="preserve"> €</w:t>
      </w:r>
    </w:p>
    <w:p w:rsidR="00642DBB" w:rsidRDefault="00642DBB" w:rsidP="00642DBB">
      <w:pPr>
        <w:pStyle w:val="Paragraphedeliste"/>
        <w:numPr>
          <w:ilvl w:val="0"/>
          <w:numId w:val="1"/>
        </w:numPr>
        <w:spacing w:before="100" w:beforeAutospacing="1" w:after="0" w:line="240" w:lineRule="auto"/>
        <w:ind w:right="6"/>
        <w:jc w:val="both"/>
        <w:rPr>
          <w:rFonts w:ascii="Times New Roman" w:eastAsia="Times New Roman" w:hAnsi="Times New Roman" w:cs="Times New Roman"/>
          <w:sz w:val="24"/>
          <w:szCs w:val="24"/>
          <w:lang w:eastAsia="fr-FR"/>
        </w:rPr>
      </w:pPr>
      <w:r w:rsidRPr="00642DBB">
        <w:rPr>
          <w:rFonts w:ascii="Times New Roman" w:eastAsia="Times New Roman" w:hAnsi="Times New Roman" w:cs="Times New Roman"/>
          <w:sz w:val="24"/>
          <w:szCs w:val="24"/>
          <w:lang w:eastAsia="fr-FR"/>
        </w:rPr>
        <w:t xml:space="preserve">Attribution variable sur la base des services mutualisés </w:t>
      </w:r>
      <w:r w:rsidR="006B6F81" w:rsidRPr="00642DBB">
        <w:rPr>
          <w:rFonts w:ascii="Times New Roman" w:eastAsia="Times New Roman" w:hAnsi="Times New Roman" w:cs="Times New Roman"/>
          <w:sz w:val="24"/>
          <w:szCs w:val="24"/>
          <w:lang w:eastAsia="fr-FR"/>
        </w:rPr>
        <w:t>à 295</w:t>
      </w:r>
      <w:r w:rsidR="006B6F81">
        <w:rPr>
          <w:rFonts w:ascii="Times New Roman" w:eastAsia="Times New Roman" w:hAnsi="Times New Roman" w:cs="Times New Roman"/>
          <w:sz w:val="24"/>
          <w:szCs w:val="24"/>
          <w:lang w:eastAsia="fr-FR"/>
        </w:rPr>
        <w:t> 493.93 €.</w:t>
      </w:r>
    </w:p>
    <w:p w:rsidR="006B6F81" w:rsidRDefault="006B6F81" w:rsidP="006B6F81">
      <w:pPr>
        <w:spacing w:before="100" w:beforeAutospacing="1" w:after="0" w:line="240" w:lineRule="auto"/>
        <w:ind w:right="6"/>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En net des différentes attributions de compensation, la CCPI perçoit 110 387.76 €.</w:t>
      </w:r>
    </w:p>
    <w:p w:rsidR="00F34194" w:rsidRPr="006B6F81" w:rsidRDefault="00F34194" w:rsidP="006B6F81">
      <w:pPr>
        <w:spacing w:before="100" w:beforeAutospacing="1" w:after="0" w:line="240" w:lineRule="auto"/>
        <w:ind w:right="6"/>
        <w:jc w:val="both"/>
        <w:rPr>
          <w:rFonts w:ascii="Times New Roman" w:eastAsia="Times New Roman" w:hAnsi="Times New Roman" w:cs="Times New Roman"/>
          <w:sz w:val="24"/>
          <w:szCs w:val="24"/>
          <w:lang w:eastAsia="fr-FR"/>
        </w:rPr>
      </w:pPr>
    </w:p>
    <w:p w:rsidR="00642DBB" w:rsidRPr="00E43A55" w:rsidRDefault="00643A11" w:rsidP="00BD0FE3">
      <w:pPr>
        <w:shd w:val="clear" w:color="auto" w:fill="FBE4D5" w:themeFill="accent2" w:themeFillTint="33"/>
        <w:spacing w:before="100" w:beforeAutospacing="1" w:after="0" w:line="240" w:lineRule="auto"/>
        <w:ind w:left="11" w:right="6"/>
        <w:jc w:val="both"/>
        <w:rPr>
          <w:rFonts w:ascii="Times New Roman" w:eastAsia="Times New Roman" w:hAnsi="Times New Roman" w:cs="Times New Roman"/>
          <w:b/>
          <w:sz w:val="24"/>
          <w:szCs w:val="24"/>
          <w:lang w:eastAsia="fr-FR"/>
        </w:rPr>
      </w:pPr>
      <w:r w:rsidRPr="00830CA8">
        <w:rPr>
          <w:rFonts w:ascii="Times New Roman" w:eastAsia="Times New Roman" w:hAnsi="Times New Roman" w:cs="Times New Roman"/>
          <w:b/>
          <w:sz w:val="24"/>
          <w:szCs w:val="24"/>
          <w:lang w:eastAsia="fr-FR"/>
        </w:rPr>
        <w:t>LES IMPOTS ET TAXES EN SYNTHESE :</w:t>
      </w:r>
      <w:r>
        <w:rPr>
          <w:rFonts w:ascii="Times New Roman" w:eastAsia="Times New Roman" w:hAnsi="Times New Roman" w:cs="Times New Roman"/>
          <w:b/>
          <w:sz w:val="24"/>
          <w:szCs w:val="24"/>
          <w:lang w:eastAsia="fr-FR"/>
        </w:rPr>
        <w:t xml:space="preserve"> </w:t>
      </w:r>
    </w:p>
    <w:p w:rsidR="00BD0FE3" w:rsidRDefault="00BD0FE3" w:rsidP="00BD0FE3">
      <w:pPr>
        <w:spacing w:before="100" w:beforeAutospacing="1" w:after="0" w:line="240" w:lineRule="auto"/>
        <w:ind w:left="11" w:right="6"/>
        <w:jc w:val="both"/>
        <w:rPr>
          <w:rFonts w:ascii="Times New Roman" w:eastAsia="Times New Roman" w:hAnsi="Times New Roman" w:cs="Times New Roman"/>
          <w:sz w:val="24"/>
          <w:szCs w:val="24"/>
          <w:lang w:eastAsia="fr-FR"/>
        </w:rPr>
      </w:pPr>
      <w:r w:rsidRPr="00BD0FE3">
        <w:rPr>
          <w:rFonts w:ascii="Times New Roman" w:eastAsia="Times New Roman" w:hAnsi="Times New Roman" w:cs="Times New Roman"/>
          <w:sz w:val="24"/>
          <w:szCs w:val="24"/>
          <w:lang w:eastAsia="fr-FR"/>
        </w:rPr>
        <w:t xml:space="preserve"> </w:t>
      </w:r>
      <w:r w:rsidR="00D030AA" w:rsidRPr="00D030AA">
        <w:rPr>
          <w:noProof/>
          <w:lang w:eastAsia="fr-FR"/>
        </w:rPr>
        <w:drawing>
          <wp:inline distT="0" distB="0" distL="0" distR="0">
            <wp:extent cx="5760720" cy="2284487"/>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284487"/>
                    </a:xfrm>
                    <a:prstGeom prst="rect">
                      <a:avLst/>
                    </a:prstGeom>
                    <a:noFill/>
                    <a:ln>
                      <a:noFill/>
                    </a:ln>
                  </pic:spPr>
                </pic:pic>
              </a:graphicData>
            </a:graphic>
          </wp:inline>
        </w:drawing>
      </w:r>
    </w:p>
    <w:p w:rsidR="00830CA8" w:rsidRDefault="00830CA8" w:rsidP="00830CA8">
      <w:pPr>
        <w:jc w:val="both"/>
        <w:rPr>
          <w:rFonts w:ascii="Times New Roman" w:eastAsia="Times New Roman" w:hAnsi="Times New Roman" w:cs="Times New Roman"/>
          <w:sz w:val="24"/>
          <w:szCs w:val="24"/>
          <w:lang w:eastAsia="fr-FR"/>
        </w:rPr>
      </w:pPr>
    </w:p>
    <w:p w:rsidR="00991D84" w:rsidRDefault="00991D84" w:rsidP="00991D84">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produits des impôts locaux (hors attribution de compensation et FPIC) progressent de 5.1% en prévision par rapport au réalisé 2023, soit un produit supplémentaire de </w:t>
      </w:r>
      <w:r w:rsidRPr="00830CA8">
        <w:rPr>
          <w:rFonts w:ascii="Times New Roman" w:eastAsia="Times New Roman" w:hAnsi="Times New Roman" w:cs="Times New Roman"/>
          <w:sz w:val="24"/>
          <w:szCs w:val="24"/>
          <w:lang w:eastAsia="fr-FR"/>
        </w:rPr>
        <w:t>727</w:t>
      </w:r>
      <w:r>
        <w:rPr>
          <w:rFonts w:ascii="Times New Roman" w:eastAsia="Times New Roman" w:hAnsi="Times New Roman" w:cs="Times New Roman"/>
          <w:sz w:val="24"/>
          <w:szCs w:val="24"/>
          <w:lang w:eastAsia="fr-FR"/>
        </w:rPr>
        <w:t> </w:t>
      </w:r>
      <w:r w:rsidRPr="00830CA8">
        <w:rPr>
          <w:rFonts w:ascii="Times New Roman" w:eastAsia="Times New Roman" w:hAnsi="Times New Roman" w:cs="Times New Roman"/>
          <w:sz w:val="24"/>
          <w:szCs w:val="24"/>
          <w:lang w:eastAsia="fr-FR"/>
        </w:rPr>
        <w:t>510</w:t>
      </w:r>
      <w:r>
        <w:rPr>
          <w:rFonts w:ascii="Times New Roman" w:eastAsia="Times New Roman" w:hAnsi="Times New Roman" w:cs="Times New Roman"/>
          <w:sz w:val="24"/>
          <w:szCs w:val="24"/>
          <w:lang w:eastAsia="fr-FR"/>
        </w:rPr>
        <w:t xml:space="preserve"> €. Cette explication réside dans la conjugaison de plusieurs facteurs principaux :</w:t>
      </w:r>
    </w:p>
    <w:p w:rsidR="00991D84" w:rsidRDefault="00991D84" w:rsidP="00991D84">
      <w:pPr>
        <w:pStyle w:val="Paragraphedeliste"/>
        <w:numPr>
          <w:ilvl w:val="0"/>
          <w:numId w:val="1"/>
        </w:numPr>
        <w:spacing w:before="100" w:beforeAutospacing="1" w:after="0" w:line="240" w:lineRule="auto"/>
        <w:ind w:right="6"/>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Revalorisation forfaitaire des bases de 3.86% associée à l’évolution physique des bases soit + 105 K€</w:t>
      </w:r>
    </w:p>
    <w:p w:rsidR="00991D84" w:rsidRDefault="00991D84" w:rsidP="00991D84">
      <w:pPr>
        <w:pStyle w:val="Paragraphedeliste"/>
        <w:numPr>
          <w:ilvl w:val="0"/>
          <w:numId w:val="1"/>
        </w:numPr>
        <w:spacing w:before="100" w:beforeAutospacing="1" w:after="0" w:line="240" w:lineRule="auto"/>
        <w:ind w:right="6"/>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Instauration de la taxe GEMAPI à hauteur de 400 K€</w:t>
      </w:r>
    </w:p>
    <w:p w:rsidR="00991D84" w:rsidRDefault="00991D84" w:rsidP="00991D84">
      <w:pPr>
        <w:pStyle w:val="Paragraphedeliste"/>
        <w:numPr>
          <w:ilvl w:val="0"/>
          <w:numId w:val="1"/>
        </w:numPr>
        <w:spacing w:before="100" w:beforeAutospacing="1" w:after="0" w:line="240" w:lineRule="auto"/>
        <w:ind w:right="6"/>
        <w:jc w:val="both"/>
        <w:rPr>
          <w:rFonts w:ascii="Times New Roman" w:eastAsia="Times New Roman" w:hAnsi="Times New Roman" w:cs="Times New Roman"/>
          <w:sz w:val="24"/>
          <w:szCs w:val="24"/>
          <w:lang w:eastAsia="fr-FR"/>
        </w:rPr>
      </w:pPr>
      <w:r w:rsidRPr="005530F3">
        <w:rPr>
          <w:rFonts w:ascii="Times New Roman" w:eastAsia="Times New Roman" w:hAnsi="Times New Roman" w:cs="Times New Roman"/>
          <w:sz w:val="24"/>
          <w:szCs w:val="24"/>
          <w:lang w:eastAsia="fr-FR"/>
        </w:rPr>
        <w:t xml:space="preserve">Revalorisation de la TASCOM de 5% </w:t>
      </w:r>
    </w:p>
    <w:p w:rsidR="00991D84" w:rsidRDefault="00991D84" w:rsidP="00991D84">
      <w:pPr>
        <w:pStyle w:val="Paragraphedeliste"/>
        <w:numPr>
          <w:ilvl w:val="0"/>
          <w:numId w:val="1"/>
        </w:numPr>
        <w:spacing w:before="100" w:beforeAutospacing="1" w:after="0" w:line="240" w:lineRule="auto"/>
        <w:ind w:right="6"/>
        <w:jc w:val="both"/>
        <w:rPr>
          <w:rFonts w:ascii="Times New Roman" w:eastAsia="Times New Roman" w:hAnsi="Times New Roman" w:cs="Times New Roman"/>
          <w:sz w:val="24"/>
          <w:szCs w:val="24"/>
          <w:lang w:eastAsia="fr-FR"/>
        </w:rPr>
      </w:pPr>
      <w:r w:rsidRPr="005530F3">
        <w:rPr>
          <w:rFonts w:ascii="Times New Roman" w:eastAsia="Times New Roman" w:hAnsi="Times New Roman" w:cs="Times New Roman"/>
          <w:sz w:val="24"/>
          <w:szCs w:val="24"/>
          <w:lang w:eastAsia="fr-FR"/>
        </w:rPr>
        <w:t xml:space="preserve">Evolution de la compensation de TH de + </w:t>
      </w:r>
      <w:r>
        <w:rPr>
          <w:rFonts w:ascii="Times New Roman" w:eastAsia="Times New Roman" w:hAnsi="Times New Roman" w:cs="Times New Roman"/>
          <w:sz w:val="24"/>
          <w:szCs w:val="24"/>
          <w:lang w:eastAsia="fr-FR"/>
        </w:rPr>
        <w:t>188</w:t>
      </w:r>
      <w:r w:rsidRPr="005530F3">
        <w:rPr>
          <w:rFonts w:ascii="Times New Roman" w:eastAsia="Times New Roman" w:hAnsi="Times New Roman" w:cs="Times New Roman"/>
          <w:sz w:val="24"/>
          <w:szCs w:val="24"/>
          <w:lang w:eastAsia="fr-FR"/>
        </w:rPr>
        <w:t xml:space="preserve"> K€ (TVA).</w:t>
      </w:r>
    </w:p>
    <w:p w:rsidR="00991D84" w:rsidRDefault="00991D84" w:rsidP="00991D84">
      <w:pPr>
        <w:spacing w:before="100" w:beforeAutospacing="1" w:after="0" w:line="240" w:lineRule="auto"/>
        <w:ind w:right="6"/>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produits de fonctionnement évoluent au global (BP 2024/CFU 2023) de 3.83% soit plus que l’inflation prévisionnelle 2024 (2.5%). Cela étant, cette progression est pour une bonne part liée à l’instauration de la taxe GEMAPI. Hors produit GEMAPI, l’évolution des produits de fonctionnement n’est que de 1.87%.</w:t>
      </w:r>
    </w:p>
    <w:p w:rsidR="009E7EA9" w:rsidRPr="006115E8" w:rsidRDefault="006115E8" w:rsidP="00AE5830">
      <w:pPr>
        <w:shd w:val="clear" w:color="auto" w:fill="D5DCE4" w:themeFill="text2" w:themeFillTint="33"/>
        <w:spacing w:before="100" w:beforeAutospacing="1" w:after="0" w:line="240" w:lineRule="auto"/>
        <w:ind w:right="6"/>
        <w:jc w:val="both"/>
        <w:rPr>
          <w:rFonts w:ascii="Times New Roman" w:eastAsia="Times New Roman" w:hAnsi="Times New Roman" w:cs="Times New Roman"/>
          <w:b/>
          <w:sz w:val="24"/>
          <w:szCs w:val="24"/>
          <w:lang w:eastAsia="fr-FR"/>
        </w:rPr>
      </w:pPr>
      <w:r w:rsidRPr="006115E8">
        <w:rPr>
          <w:rFonts w:ascii="Times New Roman" w:eastAsia="Times New Roman" w:hAnsi="Times New Roman" w:cs="Times New Roman"/>
          <w:b/>
          <w:sz w:val="24"/>
          <w:szCs w:val="24"/>
          <w:lang w:eastAsia="fr-FR"/>
        </w:rPr>
        <w:t>INVESTISSEMENT</w:t>
      </w:r>
    </w:p>
    <w:p w:rsidR="006115E8" w:rsidRDefault="00BF00FC" w:rsidP="00643A11">
      <w:pPr>
        <w:spacing w:before="100" w:beforeAutospacing="1" w:after="0" w:line="240" w:lineRule="auto"/>
        <w:ind w:right="6"/>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 programme d’investissement comporte toutes les opérations ayant un impact sur le patrimoine de la communauté. </w:t>
      </w:r>
      <w:r w:rsidR="005530F3">
        <w:rPr>
          <w:rFonts w:ascii="Times New Roman" w:eastAsia="Times New Roman" w:hAnsi="Times New Roman" w:cs="Times New Roman"/>
          <w:sz w:val="24"/>
          <w:szCs w:val="24"/>
          <w:lang w:eastAsia="fr-FR"/>
        </w:rPr>
        <w:t>Ce programme 2024 s’élève à 12 218 115 €.</w:t>
      </w:r>
    </w:p>
    <w:p w:rsidR="00BF00FC" w:rsidRPr="005530F3" w:rsidRDefault="00BF00FC" w:rsidP="00643A11">
      <w:pPr>
        <w:spacing w:before="100" w:beforeAutospacing="1" w:after="0" w:line="240" w:lineRule="auto"/>
        <w:ind w:right="6"/>
        <w:jc w:val="both"/>
        <w:rPr>
          <w:rFonts w:ascii="Times New Roman" w:eastAsia="Times New Roman" w:hAnsi="Times New Roman" w:cs="Times New Roman"/>
          <w:sz w:val="24"/>
          <w:szCs w:val="24"/>
          <w:lang w:eastAsia="fr-FR"/>
        </w:rPr>
      </w:pPr>
      <w:r w:rsidRPr="005530F3">
        <w:rPr>
          <w:rFonts w:ascii="Times New Roman" w:eastAsia="Times New Roman" w:hAnsi="Times New Roman" w:cs="Times New Roman"/>
          <w:sz w:val="24"/>
          <w:szCs w:val="24"/>
          <w:lang w:eastAsia="fr-FR"/>
        </w:rPr>
        <w:t xml:space="preserve">Pour le budget principal, </w:t>
      </w:r>
      <w:r w:rsidR="00287AD3" w:rsidRPr="005530F3">
        <w:rPr>
          <w:rFonts w:ascii="Times New Roman" w:eastAsia="Times New Roman" w:hAnsi="Times New Roman" w:cs="Times New Roman"/>
          <w:sz w:val="24"/>
          <w:szCs w:val="24"/>
          <w:lang w:eastAsia="fr-FR"/>
        </w:rPr>
        <w:t>le volume des crédits inscrits est conséquent dont 8 </w:t>
      </w:r>
      <w:r w:rsidR="0048295B" w:rsidRPr="005530F3">
        <w:rPr>
          <w:rFonts w:ascii="Times New Roman" w:eastAsia="Times New Roman" w:hAnsi="Times New Roman" w:cs="Times New Roman"/>
          <w:sz w:val="24"/>
          <w:szCs w:val="24"/>
          <w:lang w:eastAsia="fr-FR"/>
        </w:rPr>
        <w:t>153</w:t>
      </w:r>
      <w:r w:rsidR="00287AD3" w:rsidRPr="005530F3">
        <w:rPr>
          <w:rFonts w:ascii="Times New Roman" w:eastAsia="Times New Roman" w:hAnsi="Times New Roman" w:cs="Times New Roman"/>
          <w:sz w:val="24"/>
          <w:szCs w:val="24"/>
          <w:lang w:eastAsia="fr-FR"/>
        </w:rPr>
        <w:t xml:space="preserve"> K€ de </w:t>
      </w:r>
      <w:r w:rsidR="00287AD3" w:rsidRPr="005530F3">
        <w:rPr>
          <w:rFonts w:ascii="Times New Roman" w:eastAsia="Times New Roman" w:hAnsi="Times New Roman" w:cs="Times New Roman"/>
          <w:b/>
          <w:sz w:val="24"/>
          <w:szCs w:val="24"/>
          <w:lang w:eastAsia="fr-FR"/>
        </w:rPr>
        <w:t xml:space="preserve">nouveaux </w:t>
      </w:r>
      <w:r w:rsidR="00287AD3" w:rsidRPr="005530F3">
        <w:rPr>
          <w:rFonts w:ascii="Times New Roman" w:eastAsia="Times New Roman" w:hAnsi="Times New Roman" w:cs="Times New Roman"/>
          <w:sz w:val="24"/>
          <w:szCs w:val="24"/>
          <w:lang w:eastAsia="fr-FR"/>
        </w:rPr>
        <w:t>crédits répartis en deux grandes catégories de dépenses :</w:t>
      </w:r>
    </w:p>
    <w:p w:rsidR="00287AD3" w:rsidRPr="005530F3" w:rsidRDefault="00287AD3" w:rsidP="00287AD3">
      <w:pPr>
        <w:pStyle w:val="Paragraphedeliste"/>
        <w:numPr>
          <w:ilvl w:val="0"/>
          <w:numId w:val="1"/>
        </w:numPr>
        <w:spacing w:before="100" w:beforeAutospacing="1" w:after="0" w:line="240" w:lineRule="auto"/>
        <w:ind w:right="6"/>
        <w:jc w:val="both"/>
        <w:rPr>
          <w:rFonts w:ascii="Times New Roman" w:eastAsia="Times New Roman" w:hAnsi="Times New Roman" w:cs="Times New Roman"/>
          <w:sz w:val="24"/>
          <w:szCs w:val="24"/>
          <w:lang w:eastAsia="fr-FR"/>
        </w:rPr>
      </w:pPr>
      <w:r w:rsidRPr="005530F3">
        <w:rPr>
          <w:rFonts w:ascii="Times New Roman" w:eastAsia="Times New Roman" w:hAnsi="Times New Roman" w:cs="Times New Roman"/>
          <w:sz w:val="24"/>
          <w:szCs w:val="24"/>
          <w:lang w:eastAsia="fr-FR"/>
        </w:rPr>
        <w:t>Les dépenses récurrentes </w:t>
      </w:r>
      <w:r w:rsidRPr="005530F3">
        <w:rPr>
          <w:rFonts w:ascii="Times New Roman" w:eastAsia="Times New Roman" w:hAnsi="Times New Roman" w:cs="Times New Roman"/>
          <w:sz w:val="24"/>
          <w:szCs w:val="24"/>
          <w:lang w:eastAsia="fr-FR"/>
        </w:rPr>
        <w:tab/>
        <w:t>:</w:t>
      </w:r>
      <w:r w:rsidRPr="005530F3">
        <w:rPr>
          <w:rFonts w:ascii="Times New Roman" w:eastAsia="Times New Roman" w:hAnsi="Times New Roman" w:cs="Times New Roman"/>
          <w:sz w:val="24"/>
          <w:szCs w:val="24"/>
          <w:lang w:eastAsia="fr-FR"/>
        </w:rPr>
        <w:tab/>
        <w:t>3 688 K€</w:t>
      </w:r>
    </w:p>
    <w:p w:rsidR="00287AD3" w:rsidRPr="005530F3" w:rsidRDefault="00287AD3" w:rsidP="00287AD3">
      <w:pPr>
        <w:pStyle w:val="Paragraphedeliste"/>
        <w:numPr>
          <w:ilvl w:val="0"/>
          <w:numId w:val="1"/>
        </w:numPr>
        <w:spacing w:before="100" w:beforeAutospacing="1" w:after="0" w:line="240" w:lineRule="auto"/>
        <w:ind w:right="6"/>
        <w:jc w:val="both"/>
        <w:rPr>
          <w:rFonts w:ascii="Times New Roman" w:eastAsia="Times New Roman" w:hAnsi="Times New Roman" w:cs="Times New Roman"/>
          <w:sz w:val="24"/>
          <w:szCs w:val="24"/>
          <w:lang w:eastAsia="fr-FR"/>
        </w:rPr>
      </w:pPr>
      <w:r w:rsidRPr="005530F3">
        <w:rPr>
          <w:rFonts w:ascii="Times New Roman" w:eastAsia="Times New Roman" w:hAnsi="Times New Roman" w:cs="Times New Roman"/>
          <w:sz w:val="24"/>
          <w:szCs w:val="24"/>
          <w:lang w:eastAsia="fr-FR"/>
        </w:rPr>
        <w:t>Les dépenses structurantes </w:t>
      </w:r>
      <w:r w:rsidRPr="005530F3">
        <w:rPr>
          <w:rFonts w:ascii="Times New Roman" w:eastAsia="Times New Roman" w:hAnsi="Times New Roman" w:cs="Times New Roman"/>
          <w:sz w:val="24"/>
          <w:szCs w:val="24"/>
          <w:lang w:eastAsia="fr-FR"/>
        </w:rPr>
        <w:tab/>
        <w:t xml:space="preserve">: </w:t>
      </w:r>
      <w:r w:rsidRPr="005530F3">
        <w:rPr>
          <w:rFonts w:ascii="Times New Roman" w:eastAsia="Times New Roman" w:hAnsi="Times New Roman" w:cs="Times New Roman"/>
          <w:sz w:val="24"/>
          <w:szCs w:val="24"/>
          <w:lang w:eastAsia="fr-FR"/>
        </w:rPr>
        <w:tab/>
      </w:r>
      <w:r w:rsidR="0048295B" w:rsidRPr="005530F3">
        <w:rPr>
          <w:rFonts w:ascii="Times New Roman" w:eastAsia="Times New Roman" w:hAnsi="Times New Roman" w:cs="Times New Roman"/>
          <w:sz w:val="24"/>
          <w:szCs w:val="24"/>
          <w:lang w:eastAsia="fr-FR"/>
        </w:rPr>
        <w:t>4 465</w:t>
      </w:r>
      <w:r w:rsidRPr="005530F3">
        <w:rPr>
          <w:rFonts w:ascii="Times New Roman" w:eastAsia="Times New Roman" w:hAnsi="Times New Roman" w:cs="Times New Roman"/>
          <w:sz w:val="24"/>
          <w:szCs w:val="24"/>
          <w:lang w:eastAsia="fr-FR"/>
        </w:rPr>
        <w:t xml:space="preserve"> K€.</w:t>
      </w:r>
    </w:p>
    <w:p w:rsidR="00287AD3" w:rsidRDefault="00287AD3" w:rsidP="00287AD3">
      <w:pPr>
        <w:spacing w:before="100" w:beforeAutospacing="1" w:after="0" w:line="240" w:lineRule="auto"/>
        <w:ind w:right="6"/>
        <w:jc w:val="both"/>
        <w:rPr>
          <w:rFonts w:ascii="Times New Roman" w:eastAsia="Times New Roman" w:hAnsi="Times New Roman" w:cs="Times New Roman"/>
          <w:sz w:val="24"/>
          <w:szCs w:val="24"/>
          <w:lang w:eastAsia="fr-FR"/>
        </w:rPr>
      </w:pPr>
      <w:r w:rsidRPr="005530F3">
        <w:rPr>
          <w:rFonts w:ascii="Times New Roman" w:eastAsia="Times New Roman" w:hAnsi="Times New Roman" w:cs="Times New Roman"/>
          <w:sz w:val="24"/>
          <w:szCs w:val="24"/>
          <w:lang w:eastAsia="fr-FR"/>
        </w:rPr>
        <w:t xml:space="preserve">Le montant total des reports 2023 s’élèvent à </w:t>
      </w:r>
      <w:r w:rsidR="0048295B" w:rsidRPr="005530F3">
        <w:rPr>
          <w:rFonts w:ascii="Times New Roman" w:eastAsia="Times New Roman" w:hAnsi="Times New Roman" w:cs="Times New Roman"/>
          <w:sz w:val="24"/>
          <w:szCs w:val="24"/>
          <w:lang w:eastAsia="fr-FR"/>
        </w:rPr>
        <w:t>4 064 K€ dont 958 K€ pour les AP/CP</w:t>
      </w:r>
      <w:r w:rsidR="005530F3">
        <w:rPr>
          <w:rFonts w:ascii="Times New Roman" w:eastAsia="Times New Roman" w:hAnsi="Times New Roman" w:cs="Times New Roman"/>
          <w:sz w:val="24"/>
          <w:szCs w:val="24"/>
          <w:lang w:eastAsia="fr-FR"/>
        </w:rPr>
        <w:t>.</w:t>
      </w:r>
    </w:p>
    <w:p w:rsidR="00F34194" w:rsidRDefault="00F34194" w:rsidP="00287AD3">
      <w:pPr>
        <w:spacing w:before="100" w:beforeAutospacing="1" w:after="0" w:line="240" w:lineRule="auto"/>
        <w:ind w:right="6"/>
        <w:jc w:val="both"/>
        <w:rPr>
          <w:rFonts w:ascii="Times New Roman" w:eastAsia="Times New Roman" w:hAnsi="Times New Roman" w:cs="Times New Roman"/>
          <w:sz w:val="24"/>
          <w:szCs w:val="24"/>
          <w:lang w:eastAsia="fr-FR"/>
        </w:rPr>
      </w:pPr>
    </w:p>
    <w:p w:rsidR="00F34194" w:rsidRDefault="00F34194" w:rsidP="00287AD3">
      <w:pPr>
        <w:spacing w:before="100" w:beforeAutospacing="1" w:after="0" w:line="240" w:lineRule="auto"/>
        <w:ind w:right="6"/>
        <w:jc w:val="both"/>
        <w:rPr>
          <w:rFonts w:ascii="Times New Roman" w:eastAsia="Times New Roman" w:hAnsi="Times New Roman" w:cs="Times New Roman"/>
          <w:sz w:val="24"/>
          <w:szCs w:val="24"/>
          <w:lang w:eastAsia="fr-FR"/>
        </w:rPr>
      </w:pPr>
    </w:p>
    <w:p w:rsidR="00317748" w:rsidRPr="00317748" w:rsidRDefault="00317748" w:rsidP="00AE5830">
      <w:pPr>
        <w:shd w:val="clear" w:color="auto" w:fill="FBE4D5" w:themeFill="accent2" w:themeFillTint="33"/>
        <w:spacing w:before="100" w:beforeAutospacing="1" w:after="0" w:line="240" w:lineRule="auto"/>
        <w:ind w:right="6"/>
        <w:jc w:val="both"/>
        <w:rPr>
          <w:rFonts w:ascii="Times New Roman" w:eastAsia="Times New Roman" w:hAnsi="Times New Roman" w:cs="Times New Roman"/>
          <w:b/>
          <w:sz w:val="24"/>
          <w:szCs w:val="24"/>
          <w:lang w:eastAsia="fr-FR"/>
        </w:rPr>
      </w:pPr>
      <w:r w:rsidRPr="00317748">
        <w:rPr>
          <w:rFonts w:ascii="Times New Roman" w:eastAsia="Times New Roman" w:hAnsi="Times New Roman" w:cs="Times New Roman"/>
          <w:b/>
          <w:sz w:val="24"/>
          <w:szCs w:val="24"/>
          <w:lang w:eastAsia="fr-FR"/>
        </w:rPr>
        <w:t>PROGRAMME D’INVESTISSEMENT 2024</w:t>
      </w:r>
      <w:r w:rsidR="00BF00FC">
        <w:rPr>
          <w:rFonts w:ascii="Times New Roman" w:eastAsia="Times New Roman" w:hAnsi="Times New Roman" w:cs="Times New Roman"/>
          <w:b/>
          <w:sz w:val="24"/>
          <w:szCs w:val="24"/>
          <w:lang w:eastAsia="fr-FR"/>
        </w:rPr>
        <w:t xml:space="preserve"> BUDGET PRINCIPAL</w:t>
      </w:r>
    </w:p>
    <w:p w:rsidR="00287AD3" w:rsidRDefault="00287AD3" w:rsidP="00287AD3">
      <w:pPr>
        <w:pStyle w:val="NormalWeb"/>
        <w:spacing w:before="0" w:beforeAutospacing="0" w:after="0" w:afterAutospacing="0"/>
        <w:jc w:val="center"/>
        <w:rPr>
          <w:rFonts w:asciiTheme="minorHAnsi" w:eastAsiaTheme="minorEastAsia" w:hAnsi="Calibri" w:cstheme="minorBidi"/>
          <w:color w:val="FF0000"/>
          <w:kern w:val="24"/>
          <w:sz w:val="34"/>
          <w:szCs w:val="34"/>
        </w:rPr>
      </w:pPr>
    </w:p>
    <w:p w:rsidR="0048295B" w:rsidRDefault="00B434B0" w:rsidP="00287AD3">
      <w:pPr>
        <w:pStyle w:val="NormalWeb"/>
        <w:spacing w:before="0" w:beforeAutospacing="0" w:after="0" w:afterAutospacing="0"/>
        <w:jc w:val="center"/>
        <w:rPr>
          <w:rFonts w:asciiTheme="minorHAnsi" w:eastAsiaTheme="minorEastAsia" w:hAnsi="Calibri" w:cstheme="minorBidi"/>
          <w:color w:val="FF0000"/>
          <w:kern w:val="24"/>
          <w:sz w:val="34"/>
          <w:szCs w:val="34"/>
        </w:rPr>
      </w:pPr>
      <w:r w:rsidRPr="00B434B0">
        <w:rPr>
          <w:rFonts w:eastAsiaTheme="minorEastAsia"/>
          <w:noProof/>
        </w:rPr>
        <w:drawing>
          <wp:inline distT="0" distB="0" distL="0" distR="0">
            <wp:extent cx="5760720" cy="5020387"/>
            <wp:effectExtent l="0" t="0" r="0" b="889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5020387"/>
                    </a:xfrm>
                    <a:prstGeom prst="rect">
                      <a:avLst/>
                    </a:prstGeom>
                    <a:noFill/>
                    <a:ln>
                      <a:noFill/>
                    </a:ln>
                  </pic:spPr>
                </pic:pic>
              </a:graphicData>
            </a:graphic>
          </wp:inline>
        </w:drawing>
      </w:r>
    </w:p>
    <w:p w:rsidR="0048295B" w:rsidRDefault="0048295B" w:rsidP="00287AD3">
      <w:pPr>
        <w:pStyle w:val="NormalWeb"/>
        <w:spacing w:before="0" w:beforeAutospacing="0" w:after="0" w:afterAutospacing="0"/>
        <w:jc w:val="center"/>
        <w:rPr>
          <w:rFonts w:asciiTheme="minorHAnsi" w:eastAsiaTheme="minorEastAsia" w:hAnsi="Calibri" w:cstheme="minorBidi"/>
          <w:color w:val="FF0000"/>
          <w:kern w:val="24"/>
          <w:sz w:val="34"/>
          <w:szCs w:val="34"/>
        </w:rPr>
      </w:pPr>
    </w:p>
    <w:p w:rsidR="00287AD3" w:rsidRPr="00287AD3" w:rsidRDefault="00287AD3" w:rsidP="00287AD3">
      <w:pPr>
        <w:pStyle w:val="NormalWeb"/>
        <w:spacing w:before="0" w:beforeAutospacing="0" w:after="0" w:afterAutospacing="0"/>
        <w:rPr>
          <w:rFonts w:eastAsiaTheme="minorEastAsia"/>
          <w:kern w:val="24"/>
          <w:szCs w:val="34"/>
        </w:rPr>
      </w:pPr>
      <w:bookmarkStart w:id="3" w:name="_Hlk163553196"/>
      <w:r w:rsidRPr="00287AD3">
        <w:rPr>
          <w:rFonts w:eastAsiaTheme="minorEastAsia"/>
          <w:kern w:val="24"/>
          <w:szCs w:val="34"/>
        </w:rPr>
        <w:t xml:space="preserve">Les grands axes de dépenses </w:t>
      </w:r>
      <w:r w:rsidR="00D16D41">
        <w:rPr>
          <w:rFonts w:eastAsiaTheme="minorEastAsia"/>
          <w:kern w:val="24"/>
          <w:szCs w:val="34"/>
        </w:rPr>
        <w:t>d’investissement</w:t>
      </w:r>
      <w:r w:rsidR="00F61297">
        <w:rPr>
          <w:rFonts w:eastAsiaTheme="minorEastAsia"/>
          <w:kern w:val="24"/>
          <w:szCs w:val="34"/>
        </w:rPr>
        <w:t xml:space="preserve"> </w:t>
      </w:r>
      <w:r w:rsidRPr="00287AD3">
        <w:rPr>
          <w:rFonts w:eastAsiaTheme="minorEastAsia"/>
          <w:kern w:val="24"/>
          <w:szCs w:val="34"/>
        </w:rPr>
        <w:t>sont les suivants sur ce budget</w:t>
      </w:r>
      <w:r w:rsidR="00D16D41">
        <w:rPr>
          <w:rFonts w:eastAsiaTheme="minorEastAsia"/>
          <w:kern w:val="24"/>
          <w:szCs w:val="34"/>
        </w:rPr>
        <w:t> </w:t>
      </w:r>
      <w:r w:rsidRPr="00287AD3">
        <w:rPr>
          <w:rFonts w:eastAsiaTheme="minorEastAsia"/>
          <w:kern w:val="24"/>
          <w:szCs w:val="34"/>
        </w:rPr>
        <w:t>:</w:t>
      </w:r>
    </w:p>
    <w:p w:rsidR="00287AD3" w:rsidRPr="00287AD3" w:rsidRDefault="00287AD3" w:rsidP="00287AD3">
      <w:pPr>
        <w:pStyle w:val="NormalWeb"/>
        <w:spacing w:before="0" w:beforeAutospacing="0" w:after="0" w:afterAutospacing="0"/>
        <w:rPr>
          <w:rFonts w:eastAsiaTheme="minorEastAsia"/>
          <w:color w:val="FF0000"/>
          <w:kern w:val="24"/>
          <w:szCs w:val="34"/>
        </w:rPr>
      </w:pPr>
    </w:p>
    <w:p w:rsidR="00287AD3" w:rsidRPr="00F61297" w:rsidRDefault="00593891" w:rsidP="00287AD3">
      <w:pPr>
        <w:pStyle w:val="NormalWeb"/>
        <w:numPr>
          <w:ilvl w:val="0"/>
          <w:numId w:val="1"/>
        </w:numPr>
        <w:spacing w:before="0" w:beforeAutospacing="0" w:after="0" w:afterAutospacing="0"/>
        <w:rPr>
          <w:sz w:val="18"/>
        </w:rPr>
      </w:pPr>
      <w:r w:rsidRPr="00593891">
        <w:rPr>
          <w:rFonts w:eastAsiaTheme="minorEastAsia"/>
          <w:kern w:val="24"/>
          <w:szCs w:val="34"/>
        </w:rPr>
        <w:t>2.</w:t>
      </w:r>
      <w:r w:rsidR="00F61297">
        <w:rPr>
          <w:rFonts w:eastAsiaTheme="minorEastAsia"/>
          <w:kern w:val="24"/>
          <w:szCs w:val="34"/>
        </w:rPr>
        <w:t>2</w:t>
      </w:r>
      <w:r w:rsidR="00287AD3" w:rsidRPr="00593891">
        <w:rPr>
          <w:rFonts w:eastAsiaTheme="minorEastAsia"/>
          <w:kern w:val="24"/>
          <w:szCs w:val="34"/>
        </w:rPr>
        <w:t xml:space="preserve"> M€ d’aides communautaires (</w:t>
      </w:r>
      <w:r w:rsidR="00D16D41">
        <w:rPr>
          <w:rFonts w:eastAsiaTheme="minorEastAsia"/>
          <w:kern w:val="24"/>
          <w:szCs w:val="34"/>
        </w:rPr>
        <w:t>hors</w:t>
      </w:r>
      <w:r w:rsidR="00287AD3" w:rsidRPr="00593891">
        <w:rPr>
          <w:rFonts w:eastAsiaTheme="minorEastAsia"/>
          <w:kern w:val="24"/>
          <w:szCs w:val="34"/>
        </w:rPr>
        <w:t xml:space="preserve"> habitat)</w:t>
      </w:r>
    </w:p>
    <w:p w:rsidR="00F61297" w:rsidRPr="00F61297" w:rsidRDefault="00F61297" w:rsidP="00287AD3">
      <w:pPr>
        <w:pStyle w:val="NormalWeb"/>
        <w:numPr>
          <w:ilvl w:val="0"/>
          <w:numId w:val="1"/>
        </w:numPr>
        <w:spacing w:before="0" w:beforeAutospacing="0" w:after="0" w:afterAutospacing="0"/>
        <w:rPr>
          <w:rFonts w:eastAsiaTheme="minorEastAsia"/>
          <w:kern w:val="24"/>
          <w:szCs w:val="34"/>
        </w:rPr>
      </w:pPr>
      <w:r w:rsidRPr="00F61297">
        <w:rPr>
          <w:rFonts w:eastAsiaTheme="minorEastAsia"/>
          <w:kern w:val="24"/>
          <w:szCs w:val="34"/>
        </w:rPr>
        <w:t xml:space="preserve">1.4 M€ de rénovation et amélioration des bâtiments communautaires </w:t>
      </w:r>
    </w:p>
    <w:p w:rsidR="00593891" w:rsidRPr="00593891" w:rsidRDefault="00593891" w:rsidP="00F3661A">
      <w:pPr>
        <w:pStyle w:val="NormalWeb"/>
        <w:numPr>
          <w:ilvl w:val="0"/>
          <w:numId w:val="1"/>
        </w:numPr>
        <w:spacing w:before="0" w:beforeAutospacing="0" w:after="0" w:afterAutospacing="0"/>
        <w:rPr>
          <w:color w:val="FF0000"/>
          <w:sz w:val="18"/>
        </w:rPr>
      </w:pPr>
      <w:r w:rsidRPr="00593891">
        <w:rPr>
          <w:rFonts w:eastAsiaTheme="minorEastAsia"/>
          <w:kern w:val="24"/>
          <w:szCs w:val="34"/>
        </w:rPr>
        <w:t>1.07</w:t>
      </w:r>
      <w:r w:rsidR="00287AD3" w:rsidRPr="00593891">
        <w:rPr>
          <w:rFonts w:eastAsiaTheme="minorEastAsia"/>
          <w:kern w:val="24"/>
          <w:szCs w:val="34"/>
        </w:rPr>
        <w:t xml:space="preserve"> M€ pour le programme très haut débit </w:t>
      </w:r>
    </w:p>
    <w:p w:rsidR="00287AD3" w:rsidRPr="00D16D41" w:rsidRDefault="00D16D41" w:rsidP="00F3661A">
      <w:pPr>
        <w:pStyle w:val="NormalWeb"/>
        <w:numPr>
          <w:ilvl w:val="0"/>
          <w:numId w:val="1"/>
        </w:numPr>
        <w:spacing w:before="0" w:beforeAutospacing="0" w:after="0" w:afterAutospacing="0"/>
        <w:rPr>
          <w:sz w:val="18"/>
        </w:rPr>
      </w:pPr>
      <w:r w:rsidRPr="00D16D41">
        <w:rPr>
          <w:rFonts w:eastAsiaTheme="minorEastAsia"/>
          <w:kern w:val="24"/>
          <w:szCs w:val="34"/>
        </w:rPr>
        <w:t>698 K</w:t>
      </w:r>
      <w:r w:rsidR="00287AD3" w:rsidRPr="00D16D41">
        <w:rPr>
          <w:rFonts w:eastAsiaTheme="minorEastAsia"/>
          <w:kern w:val="24"/>
          <w:szCs w:val="34"/>
        </w:rPr>
        <w:t>€ pour l’habitat (logements d’urgence, aides communautaires, habitat jeunes)</w:t>
      </w:r>
    </w:p>
    <w:p w:rsidR="00287AD3" w:rsidRPr="00D16D41" w:rsidRDefault="00D16D41" w:rsidP="00593891">
      <w:pPr>
        <w:pStyle w:val="NormalWeb"/>
        <w:numPr>
          <w:ilvl w:val="0"/>
          <w:numId w:val="1"/>
        </w:numPr>
        <w:spacing w:before="0" w:beforeAutospacing="0" w:after="0" w:afterAutospacing="0"/>
        <w:rPr>
          <w:sz w:val="18"/>
        </w:rPr>
      </w:pPr>
      <w:r w:rsidRPr="00D16D41">
        <w:rPr>
          <w:rFonts w:eastAsiaTheme="minorEastAsia"/>
          <w:kern w:val="24"/>
          <w:szCs w:val="34"/>
        </w:rPr>
        <w:t>952 K</w:t>
      </w:r>
      <w:r w:rsidR="00287AD3" w:rsidRPr="00D16D41">
        <w:rPr>
          <w:rFonts w:eastAsiaTheme="minorEastAsia"/>
          <w:kern w:val="24"/>
          <w:szCs w:val="34"/>
        </w:rPr>
        <w:t>€ pour les cheminements doux et schéma vélo</w:t>
      </w:r>
    </w:p>
    <w:p w:rsidR="00287AD3" w:rsidRPr="00D16D41" w:rsidRDefault="00D16D41" w:rsidP="00593891">
      <w:pPr>
        <w:pStyle w:val="NormalWeb"/>
        <w:numPr>
          <w:ilvl w:val="0"/>
          <w:numId w:val="1"/>
        </w:numPr>
        <w:spacing w:before="0" w:beforeAutospacing="0" w:after="0" w:afterAutospacing="0"/>
        <w:rPr>
          <w:sz w:val="18"/>
        </w:rPr>
      </w:pPr>
      <w:r w:rsidRPr="00D16D41">
        <w:rPr>
          <w:rFonts w:eastAsiaTheme="minorEastAsia"/>
          <w:kern w:val="24"/>
          <w:szCs w:val="34"/>
        </w:rPr>
        <w:t>8</w:t>
      </w:r>
      <w:r w:rsidR="00F61297">
        <w:rPr>
          <w:rFonts w:eastAsiaTheme="minorEastAsia"/>
          <w:kern w:val="24"/>
          <w:szCs w:val="34"/>
        </w:rPr>
        <w:t>87</w:t>
      </w:r>
      <w:r w:rsidR="005318B7" w:rsidRPr="00D16D41">
        <w:rPr>
          <w:rFonts w:eastAsiaTheme="minorEastAsia"/>
          <w:kern w:val="24"/>
          <w:szCs w:val="34"/>
        </w:rPr>
        <w:t xml:space="preserve"> K€</w:t>
      </w:r>
      <w:r w:rsidR="00287AD3" w:rsidRPr="00D16D41">
        <w:rPr>
          <w:rFonts w:eastAsiaTheme="minorEastAsia"/>
          <w:kern w:val="24"/>
          <w:szCs w:val="34"/>
        </w:rPr>
        <w:t xml:space="preserve"> pour les milieux aquatiques</w:t>
      </w:r>
      <w:r w:rsidRPr="00D16D41">
        <w:rPr>
          <w:rFonts w:eastAsiaTheme="minorEastAsia"/>
          <w:kern w:val="24"/>
          <w:szCs w:val="34"/>
        </w:rPr>
        <w:t xml:space="preserve"> et submersions marines</w:t>
      </w:r>
    </w:p>
    <w:p w:rsidR="00287AD3" w:rsidRPr="0068691C" w:rsidRDefault="005318B7" w:rsidP="00593891">
      <w:pPr>
        <w:pStyle w:val="NormalWeb"/>
        <w:numPr>
          <w:ilvl w:val="0"/>
          <w:numId w:val="1"/>
        </w:numPr>
        <w:spacing w:before="0" w:beforeAutospacing="0" w:after="0" w:afterAutospacing="0"/>
        <w:rPr>
          <w:sz w:val="18"/>
        </w:rPr>
      </w:pPr>
      <w:r w:rsidRPr="005318B7">
        <w:rPr>
          <w:rFonts w:eastAsiaTheme="minorEastAsia"/>
          <w:kern w:val="24"/>
          <w:szCs w:val="34"/>
        </w:rPr>
        <w:t>2</w:t>
      </w:r>
      <w:r w:rsidR="00D16D41">
        <w:rPr>
          <w:rFonts w:eastAsiaTheme="minorEastAsia"/>
          <w:kern w:val="24"/>
          <w:szCs w:val="34"/>
        </w:rPr>
        <w:t>85</w:t>
      </w:r>
      <w:r w:rsidRPr="005318B7">
        <w:rPr>
          <w:rFonts w:eastAsiaTheme="minorEastAsia"/>
          <w:kern w:val="24"/>
          <w:szCs w:val="34"/>
        </w:rPr>
        <w:t xml:space="preserve"> K</w:t>
      </w:r>
      <w:r w:rsidR="00287AD3" w:rsidRPr="005318B7">
        <w:rPr>
          <w:rFonts w:eastAsiaTheme="minorEastAsia"/>
          <w:kern w:val="24"/>
          <w:szCs w:val="34"/>
        </w:rPr>
        <w:t>€ pour la pointe Saint Mathieu</w:t>
      </w:r>
      <w:r w:rsidR="005530F3">
        <w:rPr>
          <w:rFonts w:eastAsiaTheme="minorEastAsia"/>
          <w:kern w:val="24"/>
          <w:szCs w:val="34"/>
        </w:rPr>
        <w:t>.</w:t>
      </w:r>
    </w:p>
    <w:bookmarkEnd w:id="3"/>
    <w:p w:rsidR="0068691C" w:rsidRPr="005318B7" w:rsidRDefault="0068691C" w:rsidP="005530F3">
      <w:pPr>
        <w:pStyle w:val="NormalWeb"/>
        <w:spacing w:before="0" w:beforeAutospacing="0" w:after="0" w:afterAutospacing="0"/>
        <w:ind w:left="720"/>
        <w:rPr>
          <w:sz w:val="18"/>
        </w:rPr>
      </w:pPr>
    </w:p>
    <w:p w:rsidR="00317748" w:rsidRPr="00317748" w:rsidRDefault="00317748" w:rsidP="00AE5830">
      <w:pPr>
        <w:shd w:val="clear" w:color="auto" w:fill="FBE4D5" w:themeFill="accent2" w:themeFillTint="33"/>
        <w:spacing w:before="100" w:beforeAutospacing="1" w:after="0" w:line="240" w:lineRule="auto"/>
        <w:ind w:right="6"/>
        <w:jc w:val="both"/>
        <w:rPr>
          <w:rFonts w:ascii="Times New Roman" w:eastAsia="Times New Roman" w:hAnsi="Times New Roman" w:cs="Times New Roman"/>
          <w:b/>
          <w:sz w:val="24"/>
          <w:szCs w:val="24"/>
          <w:lang w:eastAsia="fr-FR"/>
        </w:rPr>
      </w:pPr>
      <w:r w:rsidRPr="00317748">
        <w:rPr>
          <w:rFonts w:ascii="Times New Roman" w:eastAsia="Times New Roman" w:hAnsi="Times New Roman" w:cs="Times New Roman"/>
          <w:b/>
          <w:sz w:val="24"/>
          <w:szCs w:val="24"/>
          <w:lang w:eastAsia="fr-FR"/>
        </w:rPr>
        <w:t>AUTORISATION DE PROGRAMME ET CREDITS DE PAIEMENT</w:t>
      </w:r>
    </w:p>
    <w:p w:rsidR="006115E8" w:rsidRPr="006115E8" w:rsidRDefault="006115E8" w:rsidP="006115E8">
      <w:pPr>
        <w:spacing w:before="100" w:beforeAutospacing="1" w:after="0" w:line="240" w:lineRule="auto"/>
        <w:ind w:right="6"/>
        <w:jc w:val="both"/>
        <w:rPr>
          <w:rFonts w:ascii="Times New Roman" w:eastAsia="Times New Roman" w:hAnsi="Times New Roman" w:cs="Times New Roman"/>
          <w:sz w:val="24"/>
          <w:szCs w:val="24"/>
          <w:lang w:eastAsia="fr-FR"/>
        </w:rPr>
      </w:pPr>
      <w:r w:rsidRPr="006115E8">
        <w:rPr>
          <w:rFonts w:ascii="Times New Roman" w:eastAsia="Times New Roman" w:hAnsi="Times New Roman" w:cs="Times New Roman"/>
          <w:sz w:val="24"/>
          <w:szCs w:val="24"/>
          <w:lang w:eastAsia="fr-FR"/>
        </w:rPr>
        <w:t>Les autorisations de programme et crédits de paiement</w:t>
      </w:r>
      <w:r>
        <w:rPr>
          <w:rFonts w:ascii="Times New Roman" w:eastAsia="Times New Roman" w:hAnsi="Times New Roman" w:cs="Times New Roman"/>
          <w:sz w:val="24"/>
          <w:szCs w:val="24"/>
          <w:lang w:eastAsia="fr-FR"/>
        </w:rPr>
        <w:t xml:space="preserve"> </w:t>
      </w:r>
      <w:r w:rsidRPr="006115E8">
        <w:rPr>
          <w:rFonts w:ascii="Times New Roman" w:eastAsia="Times New Roman" w:hAnsi="Times New Roman" w:cs="Times New Roman"/>
          <w:sz w:val="24"/>
          <w:szCs w:val="24"/>
          <w:lang w:eastAsia="fr-FR"/>
        </w:rPr>
        <w:t>La procédure des autorisations de programme/crédits de paiement (AP/CP) est une dérogation au principe</w:t>
      </w:r>
      <w:r>
        <w:rPr>
          <w:rFonts w:ascii="Times New Roman" w:eastAsia="Times New Roman" w:hAnsi="Times New Roman" w:cs="Times New Roman"/>
          <w:sz w:val="24"/>
          <w:szCs w:val="24"/>
          <w:lang w:eastAsia="fr-FR"/>
        </w:rPr>
        <w:t xml:space="preserve"> </w:t>
      </w:r>
      <w:r w:rsidRPr="006115E8">
        <w:rPr>
          <w:rFonts w:ascii="Times New Roman" w:eastAsia="Times New Roman" w:hAnsi="Times New Roman" w:cs="Times New Roman"/>
          <w:sz w:val="24"/>
          <w:szCs w:val="24"/>
          <w:lang w:eastAsia="fr-FR"/>
        </w:rPr>
        <w:t>de l’annualité budgétaire. Elle permet, en dissociant l’engagement pluriannuel des investissements de</w:t>
      </w:r>
      <w:r>
        <w:rPr>
          <w:rFonts w:ascii="Times New Roman" w:eastAsia="Times New Roman" w:hAnsi="Times New Roman" w:cs="Times New Roman"/>
          <w:sz w:val="24"/>
          <w:szCs w:val="24"/>
          <w:lang w:eastAsia="fr-FR"/>
        </w:rPr>
        <w:t xml:space="preserve"> </w:t>
      </w:r>
      <w:r w:rsidRPr="006115E8">
        <w:rPr>
          <w:rFonts w:ascii="Times New Roman" w:eastAsia="Times New Roman" w:hAnsi="Times New Roman" w:cs="Times New Roman"/>
          <w:sz w:val="24"/>
          <w:szCs w:val="24"/>
          <w:lang w:eastAsia="fr-FR"/>
        </w:rPr>
        <w:t>l’équilibre budgétaire annuel, de limiter le recours aux reports d’investissement.</w:t>
      </w:r>
    </w:p>
    <w:p w:rsidR="006115E8" w:rsidRDefault="006115E8" w:rsidP="006115E8">
      <w:pPr>
        <w:spacing w:before="100" w:beforeAutospacing="1" w:after="0" w:line="240" w:lineRule="auto"/>
        <w:ind w:right="6"/>
        <w:jc w:val="both"/>
        <w:rPr>
          <w:rFonts w:ascii="Times New Roman" w:eastAsia="Times New Roman" w:hAnsi="Times New Roman" w:cs="Times New Roman"/>
          <w:sz w:val="24"/>
          <w:szCs w:val="24"/>
          <w:lang w:eastAsia="fr-FR"/>
        </w:rPr>
      </w:pPr>
      <w:r w:rsidRPr="006115E8">
        <w:rPr>
          <w:rFonts w:ascii="Times New Roman" w:eastAsia="Times New Roman" w:hAnsi="Times New Roman" w:cs="Times New Roman"/>
          <w:sz w:val="24"/>
          <w:szCs w:val="24"/>
          <w:lang w:eastAsia="fr-FR"/>
        </w:rPr>
        <w:t>Les autorisations de programme correspondent à des dépenses à caractère pluriannuel se rapportant à</w:t>
      </w:r>
      <w:r>
        <w:rPr>
          <w:rFonts w:ascii="Times New Roman" w:eastAsia="Times New Roman" w:hAnsi="Times New Roman" w:cs="Times New Roman"/>
          <w:sz w:val="24"/>
          <w:szCs w:val="24"/>
          <w:lang w:eastAsia="fr-FR"/>
        </w:rPr>
        <w:t xml:space="preserve"> </w:t>
      </w:r>
      <w:r w:rsidRPr="006115E8">
        <w:rPr>
          <w:rFonts w:ascii="Times New Roman" w:eastAsia="Times New Roman" w:hAnsi="Times New Roman" w:cs="Times New Roman"/>
          <w:sz w:val="24"/>
          <w:szCs w:val="24"/>
          <w:lang w:eastAsia="fr-FR"/>
        </w:rPr>
        <w:t>une immobilisation</w:t>
      </w:r>
      <w:r w:rsidR="00A93860">
        <w:rPr>
          <w:rFonts w:ascii="Times New Roman" w:eastAsia="Times New Roman" w:hAnsi="Times New Roman" w:cs="Times New Roman"/>
          <w:sz w:val="24"/>
          <w:szCs w:val="24"/>
          <w:lang w:eastAsia="fr-FR"/>
        </w:rPr>
        <w:t xml:space="preserve">. </w:t>
      </w:r>
    </w:p>
    <w:p w:rsidR="006115E8" w:rsidRDefault="00A93860" w:rsidP="00643A11">
      <w:pPr>
        <w:spacing w:before="100" w:beforeAutospacing="1" w:after="0" w:line="240" w:lineRule="auto"/>
        <w:ind w:right="6"/>
        <w:jc w:val="both"/>
        <w:rPr>
          <w:rFonts w:ascii="Times New Roman" w:eastAsia="Times New Roman" w:hAnsi="Times New Roman" w:cs="Times New Roman"/>
          <w:sz w:val="24"/>
          <w:szCs w:val="24"/>
          <w:lang w:eastAsia="fr-FR"/>
        </w:rPr>
      </w:pPr>
      <w:r w:rsidRPr="00A93860">
        <w:rPr>
          <w:noProof/>
          <w:lang w:eastAsia="fr-FR"/>
        </w:rPr>
        <w:drawing>
          <wp:inline distT="0" distB="0" distL="0" distR="0">
            <wp:extent cx="5760720" cy="36616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661615"/>
                    </a:xfrm>
                    <a:prstGeom prst="rect">
                      <a:avLst/>
                    </a:prstGeom>
                    <a:noFill/>
                    <a:ln>
                      <a:noFill/>
                    </a:ln>
                  </pic:spPr>
                </pic:pic>
              </a:graphicData>
            </a:graphic>
          </wp:inline>
        </w:drawing>
      </w:r>
    </w:p>
    <w:p w:rsidR="00F14FBB" w:rsidRDefault="00A93860" w:rsidP="00643A11">
      <w:pPr>
        <w:spacing w:before="100" w:beforeAutospacing="1" w:after="0" w:line="240" w:lineRule="auto"/>
        <w:ind w:right="6"/>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 souligner qu’il y a lieu de clôturer l’autorisation de programme relative au PLUI-H qui intégrait précédemment les procédures communales et communautaires. La nouvelle AP/CP relative au PLUI-H ne prend en compte que la partie élaboration du PLUI-H, avec les nouveaux marchés attribués.</w:t>
      </w:r>
    </w:p>
    <w:p w:rsidR="00A93860" w:rsidRDefault="00A93860" w:rsidP="00643A11">
      <w:pPr>
        <w:spacing w:before="100" w:beforeAutospacing="1" w:after="0" w:line="240" w:lineRule="auto"/>
        <w:ind w:right="6"/>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En 2024, les opérations « extension du siège communautaire » et « entrepôt du siège communautaire » ainsi que les opérations « contrôle d’accès déchèteries » et « </w:t>
      </w:r>
      <w:proofErr w:type="spellStart"/>
      <w:r>
        <w:rPr>
          <w:rFonts w:ascii="Times New Roman" w:eastAsia="Times New Roman" w:hAnsi="Times New Roman" w:cs="Times New Roman"/>
          <w:sz w:val="24"/>
          <w:szCs w:val="24"/>
          <w:lang w:eastAsia="fr-FR"/>
        </w:rPr>
        <w:t>Step</w:t>
      </w:r>
      <w:proofErr w:type="spellEnd"/>
      <w:r>
        <w:rPr>
          <w:rFonts w:ascii="Times New Roman" w:eastAsia="Times New Roman" w:hAnsi="Times New Roman" w:cs="Times New Roman"/>
          <w:sz w:val="24"/>
          <w:szCs w:val="24"/>
          <w:lang w:eastAsia="fr-FR"/>
        </w:rPr>
        <w:t xml:space="preserve"> de Molène » seront aussi finalisées et à clôturer.</w:t>
      </w:r>
    </w:p>
    <w:p w:rsidR="00F14FBB" w:rsidRDefault="00F14FBB" w:rsidP="00643A11">
      <w:pPr>
        <w:spacing w:before="100" w:beforeAutospacing="1" w:after="0" w:line="240" w:lineRule="auto"/>
        <w:ind w:right="6"/>
        <w:jc w:val="both"/>
        <w:rPr>
          <w:rFonts w:ascii="Times New Roman" w:eastAsia="Times New Roman" w:hAnsi="Times New Roman" w:cs="Times New Roman"/>
          <w:sz w:val="24"/>
          <w:szCs w:val="24"/>
          <w:lang w:eastAsia="fr-FR"/>
        </w:rPr>
      </w:pPr>
    </w:p>
    <w:p w:rsidR="00F26D78" w:rsidRPr="0068691C" w:rsidRDefault="00F26D78" w:rsidP="00F26D78">
      <w:pPr>
        <w:shd w:val="clear" w:color="auto" w:fill="FBE4D5" w:themeFill="accent2" w:themeFillTint="33"/>
        <w:jc w:val="both"/>
        <w:rPr>
          <w:rFonts w:ascii="Times New Roman" w:hAnsi="Times New Roman" w:cs="Times New Roman"/>
          <w:b/>
          <w:sz w:val="24"/>
        </w:rPr>
      </w:pPr>
      <w:r w:rsidRPr="0068691C">
        <w:rPr>
          <w:rFonts w:ascii="Times New Roman" w:hAnsi="Times New Roman" w:cs="Times New Roman"/>
          <w:b/>
          <w:sz w:val="24"/>
        </w:rPr>
        <w:t>AIDES COMMUNAUTAIRES</w:t>
      </w:r>
    </w:p>
    <w:p w:rsidR="00F26D78" w:rsidRPr="0068691C" w:rsidRDefault="00F26D78" w:rsidP="00F26D78">
      <w:pPr>
        <w:jc w:val="both"/>
        <w:rPr>
          <w:rFonts w:ascii="Times New Roman" w:hAnsi="Times New Roman" w:cs="Times New Roman"/>
        </w:rPr>
      </w:pPr>
      <w:r w:rsidRPr="0068691C">
        <w:rPr>
          <w:rFonts w:ascii="Times New Roman" w:hAnsi="Times New Roman" w:cs="Times New Roman"/>
        </w:rPr>
        <w:t>En 2023, 630 K€ d’aides communautaires ont été versées. Un report de 1 468 K€ est opéré sur le budget 2024. A cela vient s’ajouter un montant des nouveaux crédits pour 2024 à hauteur de 1,12 M€ prévu comme suit :</w:t>
      </w:r>
    </w:p>
    <w:p w:rsidR="00F26D78" w:rsidRDefault="00F26D78" w:rsidP="00F26D78">
      <w:pPr>
        <w:jc w:val="both"/>
      </w:pPr>
    </w:p>
    <w:p w:rsidR="00F26D78" w:rsidRDefault="00F26D78" w:rsidP="00F26D78">
      <w:pPr>
        <w:jc w:val="both"/>
      </w:pPr>
      <w:r w:rsidRPr="00563680">
        <w:rPr>
          <w:noProof/>
          <w:lang w:eastAsia="fr-FR"/>
        </w:rPr>
        <w:drawing>
          <wp:inline distT="0" distB="0" distL="0" distR="0" wp14:anchorId="26CBF91B" wp14:editId="7A2040DE">
            <wp:extent cx="5760720" cy="7328897"/>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328897"/>
                    </a:xfrm>
                    <a:prstGeom prst="rect">
                      <a:avLst/>
                    </a:prstGeom>
                    <a:noFill/>
                    <a:ln>
                      <a:noFill/>
                    </a:ln>
                  </pic:spPr>
                </pic:pic>
              </a:graphicData>
            </a:graphic>
          </wp:inline>
        </w:drawing>
      </w:r>
    </w:p>
    <w:p w:rsidR="00F26D78" w:rsidRDefault="00F26D78" w:rsidP="00F26D78">
      <w:pPr>
        <w:jc w:val="both"/>
      </w:pPr>
    </w:p>
    <w:p w:rsidR="00F26D78" w:rsidRDefault="00F26D78" w:rsidP="00F26D78">
      <w:pPr>
        <w:jc w:val="both"/>
      </w:pPr>
    </w:p>
    <w:p w:rsidR="00F26D78" w:rsidRDefault="00F26D78" w:rsidP="00643A11">
      <w:pPr>
        <w:spacing w:before="100" w:beforeAutospacing="1" w:after="0" w:line="240" w:lineRule="auto"/>
        <w:ind w:right="6"/>
        <w:jc w:val="both"/>
        <w:rPr>
          <w:rFonts w:ascii="Times New Roman" w:eastAsia="Times New Roman" w:hAnsi="Times New Roman" w:cs="Times New Roman"/>
          <w:sz w:val="24"/>
          <w:szCs w:val="24"/>
          <w:lang w:eastAsia="fr-FR"/>
        </w:rPr>
      </w:pPr>
    </w:p>
    <w:p w:rsidR="006115E8" w:rsidRDefault="006115E8" w:rsidP="00643A11">
      <w:pPr>
        <w:spacing w:before="100" w:beforeAutospacing="1" w:after="0" w:line="240" w:lineRule="auto"/>
        <w:ind w:right="6"/>
        <w:jc w:val="both"/>
        <w:rPr>
          <w:rFonts w:ascii="Times New Roman" w:eastAsia="Times New Roman" w:hAnsi="Times New Roman" w:cs="Times New Roman"/>
          <w:sz w:val="24"/>
          <w:szCs w:val="24"/>
          <w:lang w:eastAsia="fr-FR"/>
        </w:rPr>
      </w:pPr>
    </w:p>
    <w:p w:rsidR="006115E8" w:rsidRPr="00AE5830" w:rsidRDefault="00AE5830" w:rsidP="00AE5830">
      <w:pPr>
        <w:shd w:val="clear" w:color="auto" w:fill="FBE4D5" w:themeFill="accent2" w:themeFillTint="33"/>
        <w:spacing w:before="100" w:beforeAutospacing="1" w:after="0" w:line="240" w:lineRule="auto"/>
        <w:ind w:right="6"/>
        <w:jc w:val="both"/>
        <w:rPr>
          <w:rFonts w:ascii="Times New Roman" w:eastAsia="Times New Roman" w:hAnsi="Times New Roman" w:cs="Times New Roman"/>
          <w:b/>
          <w:sz w:val="24"/>
          <w:szCs w:val="24"/>
          <w:lang w:eastAsia="fr-FR"/>
        </w:rPr>
      </w:pPr>
      <w:r w:rsidRPr="00AE5830">
        <w:rPr>
          <w:rFonts w:ascii="Times New Roman" w:eastAsia="Times New Roman" w:hAnsi="Times New Roman" w:cs="Times New Roman"/>
          <w:b/>
          <w:sz w:val="24"/>
          <w:szCs w:val="24"/>
          <w:lang w:eastAsia="fr-FR"/>
        </w:rPr>
        <w:t>LES RECETTES D’INVESTISSEMENT</w:t>
      </w:r>
    </w:p>
    <w:p w:rsidR="005318B7" w:rsidRDefault="005318B7" w:rsidP="005318B7">
      <w:pPr>
        <w:spacing w:before="100" w:beforeAutospacing="1" w:after="0" w:line="240" w:lineRule="auto"/>
        <w:ind w:right="6"/>
        <w:rPr>
          <w:rFonts w:ascii="Times New Roman" w:eastAsia="Times New Roman" w:hAnsi="Times New Roman" w:cs="Times New Roman"/>
          <w:sz w:val="24"/>
          <w:szCs w:val="24"/>
          <w:lang w:eastAsia="fr-FR"/>
        </w:rPr>
      </w:pPr>
      <w:r w:rsidRPr="005318B7">
        <w:rPr>
          <w:rFonts w:ascii="Times New Roman" w:eastAsia="Times New Roman" w:hAnsi="Times New Roman" w:cs="Times New Roman"/>
          <w:b/>
          <w:sz w:val="24"/>
          <w:szCs w:val="24"/>
          <w:lang w:eastAsia="fr-FR"/>
        </w:rPr>
        <w:t>S’agissant des recettes d’investissement,</w:t>
      </w:r>
      <w:r>
        <w:rPr>
          <w:rFonts w:ascii="Times New Roman" w:eastAsia="Times New Roman" w:hAnsi="Times New Roman" w:cs="Times New Roman"/>
          <w:sz w:val="24"/>
          <w:szCs w:val="24"/>
          <w:lang w:eastAsia="fr-FR"/>
        </w:rPr>
        <w:t xml:space="preserve"> il est comptabilité 3 075 286 € de reports dont 1 500 000 € d’emprunt et 1 575 286 € de subventions.</w:t>
      </w:r>
    </w:p>
    <w:p w:rsidR="008F6EC6" w:rsidRDefault="008F6EC6" w:rsidP="005318B7">
      <w:pPr>
        <w:spacing w:before="100" w:beforeAutospacing="1" w:after="0" w:line="240" w:lineRule="auto"/>
        <w:ind w:right="6"/>
        <w:rPr>
          <w:rFonts w:ascii="Times New Roman" w:eastAsia="Times New Roman" w:hAnsi="Times New Roman" w:cs="Times New Roman"/>
          <w:sz w:val="24"/>
          <w:szCs w:val="24"/>
          <w:lang w:eastAsia="fr-FR"/>
        </w:rPr>
      </w:pPr>
    </w:p>
    <w:tbl>
      <w:tblPr>
        <w:tblStyle w:val="Grilledutableau"/>
        <w:tblW w:w="0" w:type="auto"/>
        <w:tblLook w:val="04A0" w:firstRow="1" w:lastRow="0" w:firstColumn="1" w:lastColumn="0" w:noHBand="0" w:noVBand="1"/>
      </w:tblPr>
      <w:tblGrid>
        <w:gridCol w:w="2351"/>
        <w:gridCol w:w="2426"/>
        <w:gridCol w:w="2298"/>
        <w:gridCol w:w="1987"/>
      </w:tblGrid>
      <w:tr w:rsidR="005318B7" w:rsidTr="00F3661A">
        <w:tc>
          <w:tcPr>
            <w:tcW w:w="2351" w:type="dxa"/>
            <w:shd w:val="clear" w:color="auto" w:fill="E7E6E6" w:themeFill="background2"/>
          </w:tcPr>
          <w:p w:rsidR="005318B7" w:rsidRDefault="005318B7" w:rsidP="00F3661A">
            <w:pPr>
              <w:spacing w:before="100" w:beforeAutospacing="1"/>
              <w:ind w:right="6"/>
              <w:rPr>
                <w:rFonts w:ascii="Times New Roman" w:eastAsia="Times New Roman" w:hAnsi="Times New Roman" w:cs="Times New Roman"/>
                <w:sz w:val="24"/>
                <w:szCs w:val="24"/>
                <w:lang w:eastAsia="fr-FR"/>
              </w:rPr>
            </w:pPr>
          </w:p>
        </w:tc>
        <w:tc>
          <w:tcPr>
            <w:tcW w:w="2426" w:type="dxa"/>
            <w:shd w:val="clear" w:color="auto" w:fill="E7E6E6" w:themeFill="background2"/>
          </w:tcPr>
          <w:p w:rsidR="005318B7" w:rsidRDefault="005318B7" w:rsidP="00F3661A">
            <w:pPr>
              <w:spacing w:before="100" w:beforeAutospacing="1"/>
              <w:ind w:right="6"/>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Subventions</w:t>
            </w:r>
          </w:p>
        </w:tc>
        <w:tc>
          <w:tcPr>
            <w:tcW w:w="2298" w:type="dxa"/>
            <w:shd w:val="clear" w:color="auto" w:fill="E7E6E6" w:themeFill="background2"/>
          </w:tcPr>
          <w:p w:rsidR="005318B7" w:rsidRDefault="005318B7" w:rsidP="00F3661A">
            <w:pPr>
              <w:spacing w:before="100" w:beforeAutospacing="1"/>
              <w:ind w:right="6"/>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Emprunt</w:t>
            </w:r>
          </w:p>
        </w:tc>
        <w:tc>
          <w:tcPr>
            <w:tcW w:w="1987" w:type="dxa"/>
            <w:shd w:val="clear" w:color="auto" w:fill="E7E6E6" w:themeFill="background2"/>
          </w:tcPr>
          <w:p w:rsidR="005318B7" w:rsidRDefault="005318B7" w:rsidP="00F3661A">
            <w:pPr>
              <w:spacing w:before="100" w:beforeAutospacing="1"/>
              <w:ind w:right="6"/>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Total</w:t>
            </w:r>
          </w:p>
        </w:tc>
      </w:tr>
      <w:tr w:rsidR="005318B7" w:rsidTr="00F3661A">
        <w:tc>
          <w:tcPr>
            <w:tcW w:w="2351" w:type="dxa"/>
          </w:tcPr>
          <w:p w:rsidR="005318B7" w:rsidRDefault="005318B7" w:rsidP="00F3661A">
            <w:pPr>
              <w:spacing w:before="100" w:beforeAutospacing="1"/>
              <w:ind w:right="6"/>
              <w:jc w:val="right"/>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Reports</w:t>
            </w:r>
          </w:p>
        </w:tc>
        <w:tc>
          <w:tcPr>
            <w:tcW w:w="2426" w:type="dxa"/>
          </w:tcPr>
          <w:p w:rsidR="005318B7" w:rsidRDefault="005318B7" w:rsidP="00F3661A">
            <w:pPr>
              <w:spacing w:before="100" w:beforeAutospacing="1"/>
              <w:ind w:right="6"/>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1 575 286 €</w:t>
            </w:r>
          </w:p>
        </w:tc>
        <w:tc>
          <w:tcPr>
            <w:tcW w:w="2298" w:type="dxa"/>
          </w:tcPr>
          <w:p w:rsidR="005318B7" w:rsidRDefault="005318B7" w:rsidP="00F3661A">
            <w:pPr>
              <w:spacing w:before="100" w:beforeAutospacing="1"/>
              <w:ind w:right="6"/>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1 500 000 €</w:t>
            </w:r>
          </w:p>
        </w:tc>
        <w:tc>
          <w:tcPr>
            <w:tcW w:w="1987" w:type="dxa"/>
          </w:tcPr>
          <w:p w:rsidR="005318B7" w:rsidRDefault="005318B7" w:rsidP="00F3661A">
            <w:pPr>
              <w:spacing w:before="100" w:beforeAutospacing="1"/>
              <w:ind w:right="6"/>
              <w:jc w:val="center"/>
              <w:rPr>
                <w:rFonts w:ascii="Times New Roman" w:eastAsia="Times New Roman" w:hAnsi="Times New Roman" w:cs="Times New Roman"/>
                <w:sz w:val="24"/>
                <w:szCs w:val="24"/>
                <w:lang w:eastAsia="fr-FR"/>
              </w:rPr>
            </w:pPr>
            <w:r w:rsidRPr="005318B7">
              <w:rPr>
                <w:rFonts w:ascii="Times New Roman" w:eastAsia="Times New Roman" w:hAnsi="Times New Roman" w:cs="Times New Roman"/>
                <w:sz w:val="24"/>
                <w:szCs w:val="24"/>
                <w:lang w:eastAsia="fr-FR"/>
              </w:rPr>
              <w:t>3 075 286 €</w:t>
            </w:r>
          </w:p>
        </w:tc>
      </w:tr>
      <w:tr w:rsidR="005318B7" w:rsidTr="00F3661A">
        <w:tc>
          <w:tcPr>
            <w:tcW w:w="2351" w:type="dxa"/>
          </w:tcPr>
          <w:p w:rsidR="005318B7" w:rsidRDefault="005318B7" w:rsidP="00F3661A">
            <w:pPr>
              <w:spacing w:before="100" w:beforeAutospacing="1"/>
              <w:ind w:right="6"/>
              <w:jc w:val="right"/>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Nouveaux crédits</w:t>
            </w:r>
          </w:p>
        </w:tc>
        <w:tc>
          <w:tcPr>
            <w:tcW w:w="2426" w:type="dxa"/>
          </w:tcPr>
          <w:p w:rsidR="005318B7" w:rsidRDefault="005318B7" w:rsidP="00F3661A">
            <w:pPr>
              <w:spacing w:before="100" w:beforeAutospacing="1"/>
              <w:ind w:right="6"/>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1 608 589 €</w:t>
            </w:r>
          </w:p>
        </w:tc>
        <w:tc>
          <w:tcPr>
            <w:tcW w:w="2298" w:type="dxa"/>
          </w:tcPr>
          <w:p w:rsidR="005318B7" w:rsidRDefault="00B2218D" w:rsidP="00B434B0">
            <w:pPr>
              <w:spacing w:before="100" w:beforeAutospacing="1"/>
              <w:ind w:right="6"/>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w:t>
            </w:r>
            <w:r w:rsidR="002A0837">
              <w:rPr>
                <w:rFonts w:ascii="Times New Roman" w:eastAsia="Times New Roman" w:hAnsi="Times New Roman" w:cs="Times New Roman"/>
                <w:sz w:val="24"/>
                <w:szCs w:val="24"/>
                <w:lang w:eastAsia="fr-FR"/>
              </w:rPr>
              <w:t> 535</w:t>
            </w:r>
            <w:r w:rsidR="00B434B0">
              <w:rPr>
                <w:rFonts w:ascii="Times New Roman" w:eastAsia="Times New Roman" w:hAnsi="Times New Roman" w:cs="Times New Roman"/>
                <w:sz w:val="24"/>
                <w:szCs w:val="24"/>
                <w:lang w:eastAsia="fr-FR"/>
              </w:rPr>
              <w:t xml:space="preserve"> 256</w:t>
            </w:r>
            <w:r w:rsidR="008F6EC6" w:rsidRPr="00BD13CD">
              <w:rPr>
                <w:rFonts w:ascii="Times New Roman" w:eastAsia="Times New Roman" w:hAnsi="Times New Roman" w:cs="Times New Roman"/>
                <w:sz w:val="24"/>
                <w:szCs w:val="24"/>
                <w:lang w:eastAsia="fr-FR"/>
              </w:rPr>
              <w:t xml:space="preserve"> €</w:t>
            </w:r>
          </w:p>
        </w:tc>
        <w:tc>
          <w:tcPr>
            <w:tcW w:w="1987" w:type="dxa"/>
          </w:tcPr>
          <w:p w:rsidR="005318B7" w:rsidRPr="008F6EC6" w:rsidRDefault="004F717D" w:rsidP="00B434B0">
            <w:pPr>
              <w:spacing w:before="100" w:beforeAutospacing="1"/>
              <w:ind w:right="6"/>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4 </w:t>
            </w:r>
            <w:r w:rsidR="002A0837">
              <w:rPr>
                <w:rFonts w:ascii="Times New Roman" w:eastAsia="Times New Roman" w:hAnsi="Times New Roman" w:cs="Times New Roman"/>
                <w:sz w:val="24"/>
                <w:szCs w:val="24"/>
                <w:lang w:eastAsia="fr-FR"/>
              </w:rPr>
              <w:t>14</w:t>
            </w:r>
            <w:r w:rsidR="00B434B0">
              <w:rPr>
                <w:rFonts w:ascii="Times New Roman" w:eastAsia="Times New Roman" w:hAnsi="Times New Roman" w:cs="Times New Roman"/>
                <w:sz w:val="24"/>
                <w:szCs w:val="24"/>
                <w:lang w:eastAsia="fr-FR"/>
              </w:rPr>
              <w:t>3</w:t>
            </w:r>
            <w:r>
              <w:rPr>
                <w:rFonts w:ascii="Times New Roman" w:eastAsia="Times New Roman" w:hAnsi="Times New Roman" w:cs="Times New Roman"/>
                <w:sz w:val="24"/>
                <w:szCs w:val="24"/>
                <w:lang w:eastAsia="fr-FR"/>
              </w:rPr>
              <w:t xml:space="preserve"> </w:t>
            </w:r>
            <w:r w:rsidR="00B434B0">
              <w:rPr>
                <w:rFonts w:ascii="Times New Roman" w:eastAsia="Times New Roman" w:hAnsi="Times New Roman" w:cs="Times New Roman"/>
                <w:sz w:val="24"/>
                <w:szCs w:val="24"/>
                <w:lang w:eastAsia="fr-FR"/>
              </w:rPr>
              <w:t>84</w:t>
            </w:r>
            <w:r>
              <w:rPr>
                <w:rFonts w:ascii="Times New Roman" w:eastAsia="Times New Roman" w:hAnsi="Times New Roman" w:cs="Times New Roman"/>
                <w:sz w:val="24"/>
                <w:szCs w:val="24"/>
                <w:lang w:eastAsia="fr-FR"/>
              </w:rPr>
              <w:t>5</w:t>
            </w:r>
            <w:r w:rsidR="008F6EC6">
              <w:rPr>
                <w:rFonts w:ascii="Times New Roman" w:eastAsia="Times New Roman" w:hAnsi="Times New Roman" w:cs="Times New Roman"/>
                <w:sz w:val="24"/>
                <w:szCs w:val="24"/>
                <w:lang w:eastAsia="fr-FR"/>
              </w:rPr>
              <w:t xml:space="preserve"> €</w:t>
            </w:r>
          </w:p>
        </w:tc>
      </w:tr>
      <w:tr w:rsidR="005318B7" w:rsidTr="00F3661A">
        <w:tc>
          <w:tcPr>
            <w:tcW w:w="2351" w:type="dxa"/>
          </w:tcPr>
          <w:p w:rsidR="005318B7" w:rsidRDefault="005318B7" w:rsidP="00F3661A">
            <w:pPr>
              <w:spacing w:before="100" w:beforeAutospacing="1"/>
              <w:ind w:right="6"/>
              <w:jc w:val="right"/>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Total</w:t>
            </w:r>
          </w:p>
        </w:tc>
        <w:tc>
          <w:tcPr>
            <w:tcW w:w="2426" w:type="dxa"/>
          </w:tcPr>
          <w:p w:rsidR="005318B7" w:rsidRDefault="005318B7" w:rsidP="00F3661A">
            <w:pPr>
              <w:spacing w:before="100" w:beforeAutospacing="1"/>
              <w:ind w:right="6"/>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3 183 875 €</w:t>
            </w:r>
          </w:p>
        </w:tc>
        <w:tc>
          <w:tcPr>
            <w:tcW w:w="2298" w:type="dxa"/>
          </w:tcPr>
          <w:p w:rsidR="008F6EC6" w:rsidRDefault="002A0837" w:rsidP="008F6EC6">
            <w:pPr>
              <w:spacing w:before="100" w:beforeAutospacing="1"/>
              <w:ind w:right="6"/>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4 035</w:t>
            </w:r>
            <w:r w:rsidR="00B434B0">
              <w:rPr>
                <w:rFonts w:ascii="Times New Roman" w:eastAsia="Times New Roman" w:hAnsi="Times New Roman" w:cs="Times New Roman"/>
                <w:sz w:val="24"/>
                <w:szCs w:val="24"/>
                <w:lang w:eastAsia="fr-FR"/>
              </w:rPr>
              <w:t xml:space="preserve"> 256</w:t>
            </w:r>
            <w:r w:rsidR="00B2218D">
              <w:rPr>
                <w:rFonts w:ascii="Times New Roman" w:eastAsia="Times New Roman" w:hAnsi="Times New Roman" w:cs="Times New Roman"/>
                <w:sz w:val="24"/>
                <w:szCs w:val="24"/>
                <w:lang w:eastAsia="fr-FR"/>
              </w:rPr>
              <w:t xml:space="preserve"> </w:t>
            </w:r>
            <w:r w:rsidR="008F6EC6">
              <w:rPr>
                <w:rFonts w:ascii="Times New Roman" w:eastAsia="Times New Roman" w:hAnsi="Times New Roman" w:cs="Times New Roman"/>
                <w:sz w:val="24"/>
                <w:szCs w:val="24"/>
                <w:lang w:eastAsia="fr-FR"/>
              </w:rPr>
              <w:t>€</w:t>
            </w:r>
          </w:p>
        </w:tc>
        <w:tc>
          <w:tcPr>
            <w:tcW w:w="1987" w:type="dxa"/>
          </w:tcPr>
          <w:p w:rsidR="005318B7" w:rsidRDefault="004F717D" w:rsidP="00B434B0">
            <w:pPr>
              <w:spacing w:before="100" w:beforeAutospacing="1"/>
              <w:ind w:right="6"/>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7</w:t>
            </w:r>
            <w:r w:rsidR="002A0837">
              <w:rPr>
                <w:rFonts w:ascii="Times New Roman" w:eastAsia="Times New Roman" w:hAnsi="Times New Roman" w:cs="Times New Roman"/>
                <w:sz w:val="24"/>
                <w:szCs w:val="24"/>
                <w:lang w:eastAsia="fr-FR"/>
              </w:rPr>
              <w:t> 21</w:t>
            </w:r>
            <w:r w:rsidR="00B434B0">
              <w:rPr>
                <w:rFonts w:ascii="Times New Roman" w:eastAsia="Times New Roman" w:hAnsi="Times New Roman" w:cs="Times New Roman"/>
                <w:sz w:val="24"/>
                <w:szCs w:val="24"/>
                <w:lang w:eastAsia="fr-FR"/>
              </w:rPr>
              <w:t>9 131</w:t>
            </w:r>
            <w:r w:rsidR="003C0BE2">
              <w:rPr>
                <w:rFonts w:ascii="Times New Roman" w:eastAsia="Times New Roman" w:hAnsi="Times New Roman" w:cs="Times New Roman"/>
                <w:sz w:val="24"/>
                <w:szCs w:val="24"/>
                <w:lang w:eastAsia="fr-FR"/>
              </w:rPr>
              <w:t>€</w:t>
            </w:r>
          </w:p>
        </w:tc>
      </w:tr>
    </w:tbl>
    <w:p w:rsidR="003C0BE2" w:rsidRDefault="003C0BE2" w:rsidP="00BD13CD">
      <w:pPr>
        <w:jc w:val="both"/>
      </w:pPr>
    </w:p>
    <w:p w:rsidR="003C0BE2" w:rsidRDefault="003C0BE2" w:rsidP="003C0BE2">
      <w:pPr>
        <w:shd w:val="clear" w:color="auto" w:fill="FBE4D5" w:themeFill="accent2" w:themeFillTint="33"/>
        <w:jc w:val="both"/>
        <w:rPr>
          <w:b/>
        </w:rPr>
      </w:pPr>
      <w:r w:rsidRPr="003A5973">
        <w:rPr>
          <w:b/>
        </w:rPr>
        <w:t>VUE SYNTHETIQUE DU BUDGET PRINCIPAL</w:t>
      </w:r>
    </w:p>
    <w:p w:rsidR="003C0BE2" w:rsidRDefault="003C0BE2" w:rsidP="003C0BE2">
      <w:pPr>
        <w:jc w:val="both"/>
      </w:pPr>
      <w:r w:rsidRPr="003A5973">
        <w:t>Le tableau ci-dessous met en évidence les mouvements financiers entre sections et le niveau d’autofinancement prévu pour 2024.</w:t>
      </w:r>
      <w:r>
        <w:t xml:space="preserve"> </w:t>
      </w:r>
    </w:p>
    <w:p w:rsidR="002A0837" w:rsidRDefault="002A0837" w:rsidP="003C0BE2">
      <w:pPr>
        <w:jc w:val="both"/>
      </w:pPr>
      <w:r w:rsidRPr="002A0837">
        <w:rPr>
          <w:noProof/>
        </w:rPr>
        <w:drawing>
          <wp:inline distT="0" distB="0" distL="0" distR="0">
            <wp:extent cx="5760720" cy="2890361"/>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890361"/>
                    </a:xfrm>
                    <a:prstGeom prst="rect">
                      <a:avLst/>
                    </a:prstGeom>
                    <a:noFill/>
                    <a:ln>
                      <a:noFill/>
                    </a:ln>
                  </pic:spPr>
                </pic:pic>
              </a:graphicData>
            </a:graphic>
          </wp:inline>
        </w:drawing>
      </w:r>
    </w:p>
    <w:p w:rsidR="002A0837" w:rsidRDefault="002A0837" w:rsidP="003C0BE2">
      <w:pPr>
        <w:jc w:val="both"/>
      </w:pPr>
    </w:p>
    <w:p w:rsidR="003C0BE2" w:rsidRDefault="003C0BE2" w:rsidP="003C0BE2">
      <w:pPr>
        <w:jc w:val="both"/>
      </w:pPr>
      <w:r>
        <w:t>Le m</w:t>
      </w:r>
      <w:r w:rsidRPr="00FD2FE3">
        <w:t>ode de financement du programme d’investissement 2024</w:t>
      </w:r>
      <w:r>
        <w:t xml:space="preserve"> est le suivant : </w:t>
      </w:r>
    </w:p>
    <w:p w:rsidR="003C0BE2" w:rsidRDefault="002A0837" w:rsidP="003C0BE2">
      <w:pPr>
        <w:jc w:val="both"/>
      </w:pPr>
      <w:r w:rsidRPr="002A0837">
        <w:rPr>
          <w:noProof/>
        </w:rPr>
        <w:drawing>
          <wp:inline distT="0" distB="0" distL="0" distR="0">
            <wp:extent cx="5760720" cy="877986"/>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877986"/>
                    </a:xfrm>
                    <a:prstGeom prst="rect">
                      <a:avLst/>
                    </a:prstGeom>
                    <a:noFill/>
                    <a:ln>
                      <a:noFill/>
                    </a:ln>
                  </pic:spPr>
                </pic:pic>
              </a:graphicData>
            </a:graphic>
          </wp:inline>
        </w:drawing>
      </w:r>
    </w:p>
    <w:p w:rsidR="0040406D" w:rsidRDefault="0040406D" w:rsidP="003C0BE2">
      <w:pPr>
        <w:jc w:val="both"/>
      </w:pPr>
    </w:p>
    <w:p w:rsidR="0040406D" w:rsidRDefault="0040406D" w:rsidP="003C0BE2">
      <w:pPr>
        <w:jc w:val="both"/>
      </w:pPr>
    </w:p>
    <w:p w:rsidR="00FC04FB" w:rsidRDefault="00FC04FB" w:rsidP="003C0BE2">
      <w:pPr>
        <w:jc w:val="both"/>
      </w:pPr>
    </w:p>
    <w:p w:rsidR="00FC04FB" w:rsidRDefault="00FC04FB" w:rsidP="003C0BE2">
      <w:pPr>
        <w:jc w:val="both"/>
      </w:pPr>
    </w:p>
    <w:p w:rsidR="0040406D" w:rsidRDefault="0040406D" w:rsidP="003C0BE2">
      <w:pPr>
        <w:jc w:val="both"/>
      </w:pPr>
    </w:p>
    <w:p w:rsidR="003C0BE2" w:rsidRPr="0040406D" w:rsidRDefault="0040406D" w:rsidP="0040406D">
      <w:pPr>
        <w:shd w:val="clear" w:color="auto" w:fill="FBE4D5" w:themeFill="accent2" w:themeFillTint="33"/>
        <w:jc w:val="both"/>
        <w:rPr>
          <w:b/>
        </w:rPr>
      </w:pPr>
      <w:r w:rsidRPr="0040406D">
        <w:rPr>
          <w:b/>
        </w:rPr>
        <w:t>EPARGNE 2024</w:t>
      </w:r>
    </w:p>
    <w:p w:rsidR="0040406D" w:rsidRDefault="0040406D" w:rsidP="005318B7">
      <w:pPr>
        <w:spacing w:before="100" w:beforeAutospacing="1" w:after="0" w:line="240" w:lineRule="auto"/>
        <w:ind w:right="6"/>
        <w:rPr>
          <w:rFonts w:ascii="Times New Roman" w:eastAsia="Times New Roman" w:hAnsi="Times New Roman" w:cs="Times New Roman"/>
          <w:sz w:val="24"/>
          <w:szCs w:val="24"/>
          <w:lang w:eastAsia="fr-FR"/>
        </w:rPr>
      </w:pPr>
    </w:p>
    <w:p w:rsidR="00F673FD" w:rsidRDefault="0040406D" w:rsidP="0040406D">
      <w:pPr>
        <w:jc w:val="both"/>
      </w:pPr>
      <w:r w:rsidRPr="006A29CF">
        <w:t>Le niveau d’épargne de la communauté</w:t>
      </w:r>
      <w:r w:rsidR="00BB12BE">
        <w:t xml:space="preserve">, </w:t>
      </w:r>
      <w:r w:rsidR="00BB12BE" w:rsidRPr="00BB12BE">
        <w:rPr>
          <w:b/>
        </w:rPr>
        <w:t>au stade budget prévisionnel</w:t>
      </w:r>
      <w:r w:rsidR="00BB12BE">
        <w:t>,</w:t>
      </w:r>
      <w:r w:rsidRPr="006A29CF">
        <w:t xml:space="preserve"> est tout à fait satisfaisant et conforme aux objectifs fixés précédemment</w:t>
      </w:r>
      <w:r w:rsidR="00BB12BE">
        <w:t xml:space="preserve"> (2 M</w:t>
      </w:r>
      <w:r w:rsidR="00B2218D">
        <w:t>€)</w:t>
      </w:r>
      <w:r w:rsidR="00BB12BE">
        <w:t xml:space="preserve"> : </w:t>
      </w:r>
      <w:r w:rsidR="00BB12BE">
        <w:fldChar w:fldCharType="begin"/>
      </w:r>
      <w:r w:rsidR="00BB12BE">
        <w:instrText xml:space="preserve"> LINK </w:instrText>
      </w:r>
      <w:r w:rsidR="00F673FD">
        <w:instrText xml:space="preserve">Excel.Sheet.12 "\\\\srvfic\\donnee\\5 Ressources et moyens\\Finances\\BUDGETS &amp; PPI\\249 BUDGET PRINCIPAL\\DOB et prépa budgétaire\\2024\\4 - Rapport\\PROJET 2024 FONCT.xlsx" Epargne!L6C2:L17C4 </w:instrText>
      </w:r>
      <w:r w:rsidR="00BB12BE">
        <w:instrText xml:space="preserve">\a \f 4 \h  \* MERGEFORMAT </w:instrText>
      </w:r>
      <w:r w:rsidR="00F673FD">
        <w:fldChar w:fldCharType="separate"/>
      </w:r>
    </w:p>
    <w:tbl>
      <w:tblPr>
        <w:tblW w:w="5617" w:type="dxa"/>
        <w:tblCellMar>
          <w:left w:w="70" w:type="dxa"/>
          <w:right w:w="70" w:type="dxa"/>
        </w:tblCellMar>
        <w:tblLook w:val="04A0" w:firstRow="1" w:lastRow="0" w:firstColumn="1" w:lastColumn="0" w:noHBand="0" w:noVBand="1"/>
      </w:tblPr>
      <w:tblGrid>
        <w:gridCol w:w="3828"/>
        <w:gridCol w:w="1789"/>
        <w:gridCol w:w="1840"/>
      </w:tblGrid>
      <w:tr w:rsidR="00F673FD" w:rsidRPr="00F673FD" w:rsidTr="00F673FD">
        <w:trPr>
          <w:divId w:val="145317189"/>
          <w:trHeight w:val="315"/>
        </w:trPr>
        <w:tc>
          <w:tcPr>
            <w:tcW w:w="3828" w:type="dxa"/>
            <w:tcBorders>
              <w:top w:val="nil"/>
              <w:left w:val="nil"/>
              <w:bottom w:val="nil"/>
              <w:right w:val="nil"/>
            </w:tcBorders>
            <w:shd w:val="clear" w:color="000000" w:fill="213744"/>
            <w:noWrap/>
            <w:vAlign w:val="center"/>
            <w:hideMark/>
          </w:tcPr>
          <w:p w:rsidR="00F673FD" w:rsidRPr="00F673FD" w:rsidRDefault="00F673FD" w:rsidP="00F673FD">
            <w:pPr>
              <w:spacing w:after="0" w:line="240" w:lineRule="auto"/>
              <w:jc w:val="center"/>
              <w:rPr>
                <w:rFonts w:ascii="Calibri" w:eastAsia="Times New Roman" w:hAnsi="Calibri" w:cs="Calibri"/>
                <w:color w:val="FFFFFF"/>
                <w:sz w:val="24"/>
                <w:szCs w:val="24"/>
                <w:lang w:eastAsia="fr-FR"/>
              </w:rPr>
            </w:pPr>
            <w:r w:rsidRPr="00F673FD">
              <w:rPr>
                <w:rFonts w:ascii="Calibri" w:eastAsia="Times New Roman" w:hAnsi="Calibri" w:cs="Calibri"/>
                <w:color w:val="FFFFFF"/>
                <w:sz w:val="24"/>
                <w:szCs w:val="24"/>
                <w:lang w:eastAsia="fr-FR"/>
              </w:rPr>
              <w:t>€</w:t>
            </w:r>
          </w:p>
        </w:tc>
        <w:tc>
          <w:tcPr>
            <w:tcW w:w="1789" w:type="dxa"/>
            <w:tcBorders>
              <w:top w:val="nil"/>
              <w:left w:val="nil"/>
              <w:bottom w:val="nil"/>
              <w:right w:val="nil"/>
            </w:tcBorders>
            <w:shd w:val="clear" w:color="000000" w:fill="213744"/>
            <w:noWrap/>
            <w:vAlign w:val="center"/>
            <w:hideMark/>
          </w:tcPr>
          <w:p w:rsidR="00F673FD" w:rsidRPr="00F673FD" w:rsidRDefault="00F673FD" w:rsidP="00F673FD">
            <w:pPr>
              <w:spacing w:after="0" w:line="240" w:lineRule="auto"/>
              <w:jc w:val="center"/>
              <w:rPr>
                <w:rFonts w:ascii="Calibri" w:eastAsia="Times New Roman" w:hAnsi="Calibri" w:cs="Calibri"/>
                <w:color w:val="FFFFFF"/>
                <w:sz w:val="24"/>
                <w:szCs w:val="24"/>
                <w:lang w:eastAsia="fr-FR"/>
              </w:rPr>
            </w:pPr>
            <w:r w:rsidRPr="00F673FD">
              <w:rPr>
                <w:rFonts w:ascii="Calibri" w:eastAsia="Times New Roman" w:hAnsi="Calibri" w:cs="Calibri"/>
                <w:color w:val="FFFFFF"/>
                <w:sz w:val="24"/>
                <w:szCs w:val="24"/>
                <w:lang w:eastAsia="fr-FR"/>
              </w:rPr>
              <w:t> </w:t>
            </w:r>
          </w:p>
        </w:tc>
        <w:tc>
          <w:tcPr>
            <w:tcW w:w="1840" w:type="dxa"/>
            <w:tcBorders>
              <w:top w:val="nil"/>
              <w:left w:val="nil"/>
              <w:bottom w:val="nil"/>
              <w:right w:val="nil"/>
            </w:tcBorders>
            <w:shd w:val="clear" w:color="000000" w:fill="213744"/>
            <w:noWrap/>
            <w:vAlign w:val="center"/>
            <w:hideMark/>
          </w:tcPr>
          <w:p w:rsidR="00F673FD" w:rsidRPr="00F673FD" w:rsidRDefault="00F673FD" w:rsidP="00F673FD">
            <w:pPr>
              <w:spacing w:after="0" w:line="240" w:lineRule="auto"/>
              <w:jc w:val="center"/>
              <w:rPr>
                <w:rFonts w:ascii="Calibri" w:eastAsia="Times New Roman" w:hAnsi="Calibri" w:cs="Calibri"/>
                <w:color w:val="FFFFFF"/>
                <w:sz w:val="24"/>
                <w:szCs w:val="24"/>
                <w:lang w:eastAsia="fr-FR"/>
              </w:rPr>
            </w:pPr>
            <w:r w:rsidRPr="00F673FD">
              <w:rPr>
                <w:rFonts w:ascii="Calibri" w:eastAsia="Times New Roman" w:hAnsi="Calibri" w:cs="Calibri"/>
                <w:color w:val="FFFFFF"/>
                <w:sz w:val="24"/>
                <w:szCs w:val="24"/>
                <w:lang w:eastAsia="fr-FR"/>
              </w:rPr>
              <w:t>2024</w:t>
            </w:r>
          </w:p>
        </w:tc>
      </w:tr>
      <w:tr w:rsidR="00F673FD" w:rsidRPr="00F673FD" w:rsidTr="00F673FD">
        <w:trPr>
          <w:divId w:val="145317189"/>
          <w:trHeight w:val="315"/>
        </w:trPr>
        <w:tc>
          <w:tcPr>
            <w:tcW w:w="3828"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rPr>
                <w:rFonts w:ascii="Calibri" w:eastAsia="Times New Roman" w:hAnsi="Calibri" w:cs="Calibri"/>
                <w:color w:val="272A2E"/>
                <w:sz w:val="24"/>
                <w:szCs w:val="24"/>
                <w:lang w:eastAsia="fr-FR"/>
              </w:rPr>
            </w:pPr>
            <w:r w:rsidRPr="00F673FD">
              <w:rPr>
                <w:rFonts w:ascii="Calibri" w:eastAsia="Times New Roman" w:hAnsi="Calibri" w:cs="Calibri"/>
                <w:color w:val="272A2E"/>
                <w:sz w:val="24"/>
                <w:szCs w:val="24"/>
                <w:lang w:eastAsia="fr-FR"/>
              </w:rPr>
              <w:t>Produits de fct. Courant</w:t>
            </w:r>
          </w:p>
        </w:tc>
        <w:tc>
          <w:tcPr>
            <w:tcW w:w="1789"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jc w:val="right"/>
              <w:rPr>
                <w:rFonts w:ascii="Calibri" w:eastAsia="Times New Roman" w:hAnsi="Calibri" w:cs="Calibri"/>
                <w:color w:val="272A2E"/>
                <w:sz w:val="24"/>
                <w:szCs w:val="24"/>
                <w:lang w:eastAsia="fr-FR"/>
              </w:rPr>
            </w:pPr>
            <w:r w:rsidRPr="00F673FD">
              <w:rPr>
                <w:rFonts w:ascii="Calibri" w:eastAsia="Times New Roman" w:hAnsi="Calibri" w:cs="Calibri"/>
                <w:color w:val="272A2E"/>
                <w:sz w:val="24"/>
                <w:szCs w:val="24"/>
                <w:lang w:eastAsia="fr-FR"/>
              </w:rPr>
              <w:t> </w:t>
            </w:r>
          </w:p>
        </w:tc>
        <w:tc>
          <w:tcPr>
            <w:tcW w:w="1840"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jc w:val="right"/>
              <w:rPr>
                <w:rFonts w:ascii="Calibri" w:eastAsia="Times New Roman" w:hAnsi="Calibri" w:cs="Calibri"/>
                <w:color w:val="272A2E"/>
                <w:sz w:val="24"/>
                <w:szCs w:val="24"/>
                <w:lang w:eastAsia="fr-FR"/>
              </w:rPr>
            </w:pPr>
            <w:r w:rsidRPr="00F673FD">
              <w:rPr>
                <w:rFonts w:ascii="Calibri" w:eastAsia="Times New Roman" w:hAnsi="Calibri" w:cs="Calibri"/>
                <w:color w:val="272A2E"/>
                <w:sz w:val="24"/>
                <w:szCs w:val="24"/>
                <w:lang w:eastAsia="fr-FR"/>
              </w:rPr>
              <w:t>20 908 664,00</w:t>
            </w:r>
          </w:p>
        </w:tc>
      </w:tr>
      <w:tr w:rsidR="00F673FD" w:rsidRPr="00F673FD" w:rsidTr="00F673FD">
        <w:trPr>
          <w:divId w:val="145317189"/>
          <w:trHeight w:val="315"/>
        </w:trPr>
        <w:tc>
          <w:tcPr>
            <w:tcW w:w="3828"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rPr>
                <w:rFonts w:ascii="Calibri" w:eastAsia="Times New Roman" w:hAnsi="Calibri" w:cs="Calibri"/>
                <w:color w:val="272A2E"/>
                <w:sz w:val="24"/>
                <w:szCs w:val="24"/>
                <w:lang w:eastAsia="fr-FR"/>
              </w:rPr>
            </w:pPr>
            <w:r w:rsidRPr="00F673FD">
              <w:rPr>
                <w:rFonts w:ascii="Calibri" w:eastAsia="Times New Roman" w:hAnsi="Calibri" w:cs="Calibri"/>
                <w:color w:val="272A2E"/>
                <w:sz w:val="24"/>
                <w:szCs w:val="24"/>
                <w:lang w:eastAsia="fr-FR"/>
              </w:rPr>
              <w:t>- Charges de fct. Courant</w:t>
            </w:r>
          </w:p>
        </w:tc>
        <w:tc>
          <w:tcPr>
            <w:tcW w:w="1789"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jc w:val="right"/>
              <w:rPr>
                <w:rFonts w:ascii="Calibri" w:eastAsia="Times New Roman" w:hAnsi="Calibri" w:cs="Calibri"/>
                <w:color w:val="272A2E"/>
                <w:sz w:val="24"/>
                <w:szCs w:val="24"/>
                <w:lang w:eastAsia="fr-FR"/>
              </w:rPr>
            </w:pPr>
            <w:r w:rsidRPr="00F673FD">
              <w:rPr>
                <w:rFonts w:ascii="Calibri" w:eastAsia="Times New Roman" w:hAnsi="Calibri" w:cs="Calibri"/>
                <w:color w:val="272A2E"/>
                <w:sz w:val="24"/>
                <w:szCs w:val="24"/>
                <w:lang w:eastAsia="fr-FR"/>
              </w:rPr>
              <w:t> </w:t>
            </w:r>
          </w:p>
        </w:tc>
        <w:tc>
          <w:tcPr>
            <w:tcW w:w="1840"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jc w:val="right"/>
              <w:rPr>
                <w:rFonts w:ascii="Calibri" w:eastAsia="Times New Roman" w:hAnsi="Calibri" w:cs="Calibri"/>
                <w:color w:val="272A2E"/>
                <w:sz w:val="24"/>
                <w:szCs w:val="24"/>
                <w:lang w:eastAsia="fr-FR"/>
              </w:rPr>
            </w:pPr>
            <w:r w:rsidRPr="00F673FD">
              <w:rPr>
                <w:rFonts w:ascii="Calibri" w:eastAsia="Times New Roman" w:hAnsi="Calibri" w:cs="Calibri"/>
                <w:color w:val="272A2E"/>
                <w:sz w:val="24"/>
                <w:szCs w:val="24"/>
                <w:lang w:eastAsia="fr-FR"/>
              </w:rPr>
              <w:t>17 799 865,00</w:t>
            </w:r>
          </w:p>
        </w:tc>
      </w:tr>
      <w:tr w:rsidR="00F673FD" w:rsidRPr="00F673FD" w:rsidTr="00F673FD">
        <w:trPr>
          <w:divId w:val="145317189"/>
          <w:trHeight w:val="315"/>
        </w:trPr>
        <w:tc>
          <w:tcPr>
            <w:tcW w:w="3828" w:type="dxa"/>
            <w:tcBorders>
              <w:top w:val="nil"/>
              <w:left w:val="nil"/>
              <w:bottom w:val="nil"/>
              <w:right w:val="nil"/>
            </w:tcBorders>
            <w:shd w:val="clear" w:color="000000" w:fill="82CEE8"/>
            <w:noWrap/>
            <w:vAlign w:val="center"/>
            <w:hideMark/>
          </w:tcPr>
          <w:p w:rsidR="00F673FD" w:rsidRPr="00F673FD" w:rsidRDefault="00F673FD" w:rsidP="00F673FD">
            <w:pPr>
              <w:spacing w:after="0" w:line="240" w:lineRule="auto"/>
              <w:rPr>
                <w:rFonts w:ascii="Calibri" w:eastAsia="Times New Roman" w:hAnsi="Calibri" w:cs="Calibri"/>
                <w:b/>
                <w:bCs/>
                <w:color w:val="213744"/>
                <w:sz w:val="24"/>
                <w:szCs w:val="24"/>
                <w:lang w:eastAsia="fr-FR"/>
              </w:rPr>
            </w:pPr>
            <w:r w:rsidRPr="00F673FD">
              <w:rPr>
                <w:rFonts w:ascii="Calibri" w:eastAsia="Times New Roman" w:hAnsi="Calibri" w:cs="Calibri"/>
                <w:b/>
                <w:bCs/>
                <w:color w:val="213744"/>
                <w:sz w:val="24"/>
                <w:szCs w:val="24"/>
                <w:lang w:eastAsia="fr-FR"/>
              </w:rPr>
              <w:t>= EXCEDENT BRUT Courant (EBC)</w:t>
            </w:r>
          </w:p>
        </w:tc>
        <w:tc>
          <w:tcPr>
            <w:tcW w:w="1789" w:type="dxa"/>
            <w:tcBorders>
              <w:top w:val="nil"/>
              <w:left w:val="nil"/>
              <w:bottom w:val="nil"/>
              <w:right w:val="nil"/>
            </w:tcBorders>
            <w:shd w:val="clear" w:color="000000" w:fill="82CEE8"/>
            <w:noWrap/>
            <w:vAlign w:val="center"/>
            <w:hideMark/>
          </w:tcPr>
          <w:p w:rsidR="00F673FD" w:rsidRPr="00F673FD" w:rsidRDefault="00F673FD" w:rsidP="00F673FD">
            <w:pPr>
              <w:spacing w:after="0" w:line="240" w:lineRule="auto"/>
              <w:jc w:val="right"/>
              <w:rPr>
                <w:rFonts w:ascii="Calibri" w:eastAsia="Times New Roman" w:hAnsi="Calibri" w:cs="Calibri"/>
                <w:b/>
                <w:bCs/>
                <w:color w:val="213744"/>
                <w:sz w:val="24"/>
                <w:szCs w:val="24"/>
                <w:lang w:eastAsia="fr-FR"/>
              </w:rPr>
            </w:pPr>
            <w:r w:rsidRPr="00F673FD">
              <w:rPr>
                <w:rFonts w:ascii="Calibri" w:eastAsia="Times New Roman" w:hAnsi="Calibri" w:cs="Calibri"/>
                <w:b/>
                <w:bCs/>
                <w:color w:val="213744"/>
                <w:sz w:val="24"/>
                <w:szCs w:val="24"/>
                <w:lang w:eastAsia="fr-FR"/>
              </w:rPr>
              <w:t> </w:t>
            </w:r>
          </w:p>
        </w:tc>
        <w:tc>
          <w:tcPr>
            <w:tcW w:w="1840" w:type="dxa"/>
            <w:tcBorders>
              <w:top w:val="nil"/>
              <w:left w:val="nil"/>
              <w:bottom w:val="nil"/>
              <w:right w:val="nil"/>
            </w:tcBorders>
            <w:shd w:val="clear" w:color="000000" w:fill="82CEE8"/>
            <w:noWrap/>
            <w:vAlign w:val="center"/>
            <w:hideMark/>
          </w:tcPr>
          <w:p w:rsidR="00F673FD" w:rsidRPr="00F673FD" w:rsidRDefault="00F673FD" w:rsidP="00F673FD">
            <w:pPr>
              <w:spacing w:after="0" w:line="240" w:lineRule="auto"/>
              <w:jc w:val="right"/>
              <w:rPr>
                <w:rFonts w:ascii="Calibri" w:eastAsia="Times New Roman" w:hAnsi="Calibri" w:cs="Calibri"/>
                <w:b/>
                <w:bCs/>
                <w:color w:val="213744"/>
                <w:sz w:val="24"/>
                <w:szCs w:val="24"/>
                <w:lang w:eastAsia="fr-FR"/>
              </w:rPr>
            </w:pPr>
            <w:r w:rsidRPr="00F673FD">
              <w:rPr>
                <w:rFonts w:ascii="Calibri" w:eastAsia="Times New Roman" w:hAnsi="Calibri" w:cs="Calibri"/>
                <w:b/>
                <w:bCs/>
                <w:color w:val="213744"/>
                <w:sz w:val="24"/>
                <w:szCs w:val="24"/>
                <w:lang w:eastAsia="fr-FR"/>
              </w:rPr>
              <w:t>3 108 799,00</w:t>
            </w:r>
          </w:p>
        </w:tc>
      </w:tr>
      <w:tr w:rsidR="00F673FD" w:rsidRPr="00F673FD" w:rsidTr="00F673FD">
        <w:trPr>
          <w:divId w:val="145317189"/>
          <w:trHeight w:val="315"/>
        </w:trPr>
        <w:tc>
          <w:tcPr>
            <w:tcW w:w="3828"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rPr>
                <w:rFonts w:ascii="Calibri" w:eastAsia="Times New Roman" w:hAnsi="Calibri" w:cs="Calibri"/>
                <w:b/>
                <w:bCs/>
                <w:color w:val="272A2E"/>
                <w:sz w:val="24"/>
                <w:szCs w:val="24"/>
                <w:lang w:eastAsia="fr-FR"/>
              </w:rPr>
            </w:pPr>
            <w:r w:rsidRPr="00F673FD">
              <w:rPr>
                <w:rFonts w:ascii="Calibri" w:eastAsia="Times New Roman" w:hAnsi="Calibri" w:cs="Calibri"/>
                <w:b/>
                <w:bCs/>
                <w:color w:val="272A2E"/>
                <w:sz w:val="24"/>
                <w:szCs w:val="24"/>
                <w:lang w:eastAsia="fr-FR"/>
              </w:rPr>
              <w:t>+ Solde exceptionnel large</w:t>
            </w:r>
          </w:p>
        </w:tc>
        <w:tc>
          <w:tcPr>
            <w:tcW w:w="1789"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jc w:val="right"/>
              <w:rPr>
                <w:rFonts w:ascii="Calibri" w:eastAsia="Times New Roman" w:hAnsi="Calibri" w:cs="Calibri"/>
                <w:b/>
                <w:bCs/>
                <w:color w:val="272A2E"/>
                <w:sz w:val="24"/>
                <w:szCs w:val="24"/>
                <w:lang w:eastAsia="fr-FR"/>
              </w:rPr>
            </w:pPr>
            <w:r w:rsidRPr="00F673FD">
              <w:rPr>
                <w:rFonts w:ascii="Calibri" w:eastAsia="Times New Roman" w:hAnsi="Calibri" w:cs="Calibri"/>
                <w:b/>
                <w:bCs/>
                <w:color w:val="272A2E"/>
                <w:sz w:val="24"/>
                <w:szCs w:val="24"/>
                <w:lang w:eastAsia="fr-FR"/>
              </w:rPr>
              <w:t> </w:t>
            </w:r>
          </w:p>
        </w:tc>
        <w:tc>
          <w:tcPr>
            <w:tcW w:w="1840"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jc w:val="right"/>
              <w:rPr>
                <w:rFonts w:ascii="Calibri" w:eastAsia="Times New Roman" w:hAnsi="Calibri" w:cs="Calibri"/>
                <w:b/>
                <w:bCs/>
                <w:color w:val="272A2E"/>
                <w:sz w:val="24"/>
                <w:szCs w:val="24"/>
                <w:lang w:eastAsia="fr-FR"/>
              </w:rPr>
            </w:pPr>
            <w:r w:rsidRPr="00F673FD">
              <w:rPr>
                <w:rFonts w:ascii="Calibri" w:eastAsia="Times New Roman" w:hAnsi="Calibri" w:cs="Calibri"/>
                <w:b/>
                <w:bCs/>
                <w:color w:val="272A2E"/>
                <w:sz w:val="24"/>
                <w:szCs w:val="24"/>
                <w:lang w:eastAsia="fr-FR"/>
              </w:rPr>
              <w:t>-30 000</w:t>
            </w:r>
          </w:p>
        </w:tc>
      </w:tr>
      <w:tr w:rsidR="00F673FD" w:rsidRPr="00F673FD" w:rsidTr="00F673FD">
        <w:trPr>
          <w:divId w:val="145317189"/>
          <w:trHeight w:val="315"/>
        </w:trPr>
        <w:tc>
          <w:tcPr>
            <w:tcW w:w="3828"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rPr>
                <w:rFonts w:ascii="Calibri" w:eastAsia="Times New Roman" w:hAnsi="Calibri" w:cs="Calibri"/>
                <w:color w:val="272A2E"/>
                <w:sz w:val="24"/>
                <w:szCs w:val="24"/>
                <w:lang w:eastAsia="fr-FR"/>
              </w:rPr>
            </w:pPr>
            <w:r w:rsidRPr="00F673FD">
              <w:rPr>
                <w:rFonts w:ascii="Calibri" w:eastAsia="Times New Roman" w:hAnsi="Calibri" w:cs="Calibri"/>
                <w:color w:val="272A2E"/>
                <w:sz w:val="24"/>
                <w:szCs w:val="24"/>
                <w:lang w:eastAsia="fr-FR"/>
              </w:rPr>
              <w:t xml:space="preserve">        = Produits exceptionnels larges*</w:t>
            </w:r>
          </w:p>
        </w:tc>
        <w:tc>
          <w:tcPr>
            <w:tcW w:w="1789"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jc w:val="right"/>
              <w:rPr>
                <w:rFonts w:ascii="Calibri" w:eastAsia="Times New Roman" w:hAnsi="Calibri" w:cs="Calibri"/>
                <w:color w:val="272A2E"/>
                <w:sz w:val="24"/>
                <w:szCs w:val="24"/>
                <w:lang w:eastAsia="fr-FR"/>
              </w:rPr>
            </w:pPr>
            <w:r w:rsidRPr="00F673FD">
              <w:rPr>
                <w:rFonts w:ascii="Calibri" w:eastAsia="Times New Roman" w:hAnsi="Calibri" w:cs="Calibri"/>
                <w:color w:val="272A2E"/>
                <w:sz w:val="24"/>
                <w:szCs w:val="24"/>
                <w:lang w:eastAsia="fr-FR"/>
              </w:rPr>
              <w:t> </w:t>
            </w:r>
          </w:p>
        </w:tc>
        <w:tc>
          <w:tcPr>
            <w:tcW w:w="1840"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jc w:val="right"/>
              <w:rPr>
                <w:rFonts w:ascii="Calibri" w:eastAsia="Times New Roman" w:hAnsi="Calibri" w:cs="Calibri"/>
                <w:color w:val="272A2E"/>
                <w:sz w:val="24"/>
                <w:szCs w:val="24"/>
                <w:lang w:eastAsia="fr-FR"/>
              </w:rPr>
            </w:pPr>
            <w:r w:rsidRPr="00F673FD">
              <w:rPr>
                <w:rFonts w:ascii="Calibri" w:eastAsia="Times New Roman" w:hAnsi="Calibri" w:cs="Calibri"/>
                <w:color w:val="272A2E"/>
                <w:sz w:val="24"/>
                <w:szCs w:val="24"/>
                <w:lang w:eastAsia="fr-FR"/>
              </w:rPr>
              <w:t>20 000</w:t>
            </w:r>
          </w:p>
        </w:tc>
      </w:tr>
      <w:tr w:rsidR="00F673FD" w:rsidRPr="00F673FD" w:rsidTr="00F673FD">
        <w:trPr>
          <w:divId w:val="145317189"/>
          <w:trHeight w:val="315"/>
        </w:trPr>
        <w:tc>
          <w:tcPr>
            <w:tcW w:w="3828"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rPr>
                <w:rFonts w:ascii="Calibri" w:eastAsia="Times New Roman" w:hAnsi="Calibri" w:cs="Calibri"/>
                <w:color w:val="272A2E"/>
                <w:sz w:val="24"/>
                <w:szCs w:val="24"/>
                <w:lang w:eastAsia="fr-FR"/>
              </w:rPr>
            </w:pPr>
            <w:r w:rsidRPr="00F673FD">
              <w:rPr>
                <w:rFonts w:ascii="Calibri" w:eastAsia="Times New Roman" w:hAnsi="Calibri" w:cs="Calibri"/>
                <w:color w:val="272A2E"/>
                <w:sz w:val="24"/>
                <w:szCs w:val="24"/>
                <w:lang w:eastAsia="fr-FR"/>
              </w:rPr>
              <w:t xml:space="preserve">        - Charges exceptionnelles larges*</w:t>
            </w:r>
          </w:p>
        </w:tc>
        <w:tc>
          <w:tcPr>
            <w:tcW w:w="1789"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jc w:val="right"/>
              <w:rPr>
                <w:rFonts w:ascii="Calibri" w:eastAsia="Times New Roman" w:hAnsi="Calibri" w:cs="Calibri"/>
                <w:color w:val="272A2E"/>
                <w:sz w:val="24"/>
                <w:szCs w:val="24"/>
                <w:lang w:eastAsia="fr-FR"/>
              </w:rPr>
            </w:pPr>
            <w:r w:rsidRPr="00F673FD">
              <w:rPr>
                <w:rFonts w:ascii="Calibri" w:eastAsia="Times New Roman" w:hAnsi="Calibri" w:cs="Calibri"/>
                <w:color w:val="272A2E"/>
                <w:sz w:val="24"/>
                <w:szCs w:val="24"/>
                <w:lang w:eastAsia="fr-FR"/>
              </w:rPr>
              <w:t> </w:t>
            </w:r>
          </w:p>
        </w:tc>
        <w:tc>
          <w:tcPr>
            <w:tcW w:w="1840"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jc w:val="right"/>
              <w:rPr>
                <w:rFonts w:ascii="Calibri" w:eastAsia="Times New Roman" w:hAnsi="Calibri" w:cs="Calibri"/>
                <w:color w:val="272A2E"/>
                <w:sz w:val="24"/>
                <w:szCs w:val="24"/>
                <w:lang w:eastAsia="fr-FR"/>
              </w:rPr>
            </w:pPr>
            <w:r w:rsidRPr="00F673FD">
              <w:rPr>
                <w:rFonts w:ascii="Calibri" w:eastAsia="Times New Roman" w:hAnsi="Calibri" w:cs="Calibri"/>
                <w:color w:val="272A2E"/>
                <w:sz w:val="24"/>
                <w:szCs w:val="24"/>
                <w:lang w:eastAsia="fr-FR"/>
              </w:rPr>
              <w:t>50 000,00</w:t>
            </w:r>
          </w:p>
        </w:tc>
      </w:tr>
      <w:tr w:rsidR="00F673FD" w:rsidRPr="00F673FD" w:rsidTr="00F673FD">
        <w:trPr>
          <w:divId w:val="145317189"/>
          <w:trHeight w:val="315"/>
        </w:trPr>
        <w:tc>
          <w:tcPr>
            <w:tcW w:w="3828" w:type="dxa"/>
            <w:tcBorders>
              <w:top w:val="nil"/>
              <w:left w:val="nil"/>
              <w:bottom w:val="nil"/>
              <w:right w:val="nil"/>
            </w:tcBorders>
            <w:shd w:val="clear" w:color="000000" w:fill="82CEE8"/>
            <w:noWrap/>
            <w:vAlign w:val="center"/>
            <w:hideMark/>
          </w:tcPr>
          <w:p w:rsidR="00F673FD" w:rsidRPr="00F673FD" w:rsidRDefault="00F673FD" w:rsidP="00F673FD">
            <w:pPr>
              <w:spacing w:after="0" w:line="240" w:lineRule="auto"/>
              <w:rPr>
                <w:rFonts w:ascii="Calibri" w:eastAsia="Times New Roman" w:hAnsi="Calibri" w:cs="Calibri"/>
                <w:b/>
                <w:bCs/>
                <w:color w:val="213744"/>
                <w:sz w:val="24"/>
                <w:szCs w:val="24"/>
                <w:lang w:eastAsia="fr-FR"/>
              </w:rPr>
            </w:pPr>
            <w:r w:rsidRPr="00F673FD">
              <w:rPr>
                <w:rFonts w:ascii="Calibri" w:eastAsia="Times New Roman" w:hAnsi="Calibri" w:cs="Calibri"/>
                <w:b/>
                <w:bCs/>
                <w:color w:val="213744"/>
                <w:sz w:val="24"/>
                <w:szCs w:val="24"/>
                <w:lang w:eastAsia="fr-FR"/>
              </w:rPr>
              <w:t>= EPARGNE de GESTION (EG)</w:t>
            </w:r>
          </w:p>
        </w:tc>
        <w:tc>
          <w:tcPr>
            <w:tcW w:w="1789" w:type="dxa"/>
            <w:tcBorders>
              <w:top w:val="nil"/>
              <w:left w:val="nil"/>
              <w:bottom w:val="nil"/>
              <w:right w:val="nil"/>
            </w:tcBorders>
            <w:shd w:val="clear" w:color="000000" w:fill="82CEE8"/>
            <w:noWrap/>
            <w:vAlign w:val="center"/>
            <w:hideMark/>
          </w:tcPr>
          <w:p w:rsidR="00F673FD" w:rsidRPr="00F673FD" w:rsidRDefault="00F673FD" w:rsidP="00F673FD">
            <w:pPr>
              <w:spacing w:after="0" w:line="240" w:lineRule="auto"/>
              <w:jc w:val="right"/>
              <w:rPr>
                <w:rFonts w:ascii="Calibri" w:eastAsia="Times New Roman" w:hAnsi="Calibri" w:cs="Calibri"/>
                <w:b/>
                <w:bCs/>
                <w:color w:val="213744"/>
                <w:sz w:val="24"/>
                <w:szCs w:val="24"/>
                <w:lang w:eastAsia="fr-FR"/>
              </w:rPr>
            </w:pPr>
            <w:r w:rsidRPr="00F673FD">
              <w:rPr>
                <w:rFonts w:ascii="Calibri" w:eastAsia="Times New Roman" w:hAnsi="Calibri" w:cs="Calibri"/>
                <w:b/>
                <w:bCs/>
                <w:color w:val="213744"/>
                <w:sz w:val="24"/>
                <w:szCs w:val="24"/>
                <w:lang w:eastAsia="fr-FR"/>
              </w:rPr>
              <w:t> </w:t>
            </w:r>
          </w:p>
        </w:tc>
        <w:tc>
          <w:tcPr>
            <w:tcW w:w="1840" w:type="dxa"/>
            <w:tcBorders>
              <w:top w:val="nil"/>
              <w:left w:val="nil"/>
              <w:bottom w:val="nil"/>
              <w:right w:val="nil"/>
            </w:tcBorders>
            <w:shd w:val="clear" w:color="000000" w:fill="82CEE8"/>
            <w:noWrap/>
            <w:vAlign w:val="center"/>
            <w:hideMark/>
          </w:tcPr>
          <w:p w:rsidR="00F673FD" w:rsidRPr="00F673FD" w:rsidRDefault="00F673FD" w:rsidP="00F673FD">
            <w:pPr>
              <w:spacing w:after="0" w:line="240" w:lineRule="auto"/>
              <w:jc w:val="right"/>
              <w:rPr>
                <w:rFonts w:ascii="Calibri" w:eastAsia="Times New Roman" w:hAnsi="Calibri" w:cs="Calibri"/>
                <w:b/>
                <w:bCs/>
                <w:color w:val="213744"/>
                <w:sz w:val="24"/>
                <w:szCs w:val="24"/>
                <w:lang w:eastAsia="fr-FR"/>
              </w:rPr>
            </w:pPr>
            <w:r w:rsidRPr="00F673FD">
              <w:rPr>
                <w:rFonts w:ascii="Calibri" w:eastAsia="Times New Roman" w:hAnsi="Calibri" w:cs="Calibri"/>
                <w:b/>
                <w:bCs/>
                <w:color w:val="213744"/>
                <w:sz w:val="24"/>
                <w:szCs w:val="24"/>
                <w:lang w:eastAsia="fr-FR"/>
              </w:rPr>
              <w:t>3 078 799,00</w:t>
            </w:r>
          </w:p>
        </w:tc>
      </w:tr>
      <w:tr w:rsidR="00F673FD" w:rsidRPr="00F673FD" w:rsidTr="00F673FD">
        <w:trPr>
          <w:divId w:val="145317189"/>
          <w:trHeight w:val="315"/>
        </w:trPr>
        <w:tc>
          <w:tcPr>
            <w:tcW w:w="3828"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rPr>
                <w:rFonts w:ascii="Calibri" w:eastAsia="Times New Roman" w:hAnsi="Calibri" w:cs="Calibri"/>
                <w:color w:val="272A2E"/>
                <w:sz w:val="24"/>
                <w:szCs w:val="24"/>
                <w:lang w:eastAsia="fr-FR"/>
              </w:rPr>
            </w:pPr>
            <w:r w:rsidRPr="00F673FD">
              <w:rPr>
                <w:rFonts w:ascii="Calibri" w:eastAsia="Times New Roman" w:hAnsi="Calibri" w:cs="Calibri"/>
                <w:color w:val="272A2E"/>
                <w:sz w:val="24"/>
                <w:szCs w:val="24"/>
                <w:lang w:eastAsia="fr-FR"/>
              </w:rPr>
              <w:t>- Intérêts</w:t>
            </w:r>
          </w:p>
        </w:tc>
        <w:tc>
          <w:tcPr>
            <w:tcW w:w="1789"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jc w:val="right"/>
              <w:rPr>
                <w:rFonts w:ascii="Calibri" w:eastAsia="Times New Roman" w:hAnsi="Calibri" w:cs="Calibri"/>
                <w:color w:val="272A2E"/>
                <w:sz w:val="24"/>
                <w:szCs w:val="24"/>
                <w:lang w:eastAsia="fr-FR"/>
              </w:rPr>
            </w:pPr>
            <w:r w:rsidRPr="00F673FD">
              <w:rPr>
                <w:rFonts w:ascii="Calibri" w:eastAsia="Times New Roman" w:hAnsi="Calibri" w:cs="Calibri"/>
                <w:color w:val="272A2E"/>
                <w:sz w:val="24"/>
                <w:szCs w:val="24"/>
                <w:lang w:eastAsia="fr-FR"/>
              </w:rPr>
              <w:t> </w:t>
            </w:r>
          </w:p>
        </w:tc>
        <w:tc>
          <w:tcPr>
            <w:tcW w:w="1840"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jc w:val="right"/>
              <w:rPr>
                <w:rFonts w:ascii="Calibri" w:eastAsia="Times New Roman" w:hAnsi="Calibri" w:cs="Calibri"/>
                <w:color w:val="272A2E"/>
                <w:sz w:val="24"/>
                <w:szCs w:val="24"/>
                <w:lang w:eastAsia="fr-FR"/>
              </w:rPr>
            </w:pPr>
            <w:r w:rsidRPr="00F673FD">
              <w:rPr>
                <w:rFonts w:ascii="Calibri" w:eastAsia="Times New Roman" w:hAnsi="Calibri" w:cs="Calibri"/>
                <w:color w:val="272A2E"/>
                <w:sz w:val="24"/>
                <w:szCs w:val="24"/>
                <w:lang w:eastAsia="fr-FR"/>
              </w:rPr>
              <w:t>260 343</w:t>
            </w:r>
          </w:p>
        </w:tc>
      </w:tr>
      <w:tr w:rsidR="00F673FD" w:rsidRPr="00F673FD" w:rsidTr="00F673FD">
        <w:trPr>
          <w:divId w:val="145317189"/>
          <w:trHeight w:val="315"/>
        </w:trPr>
        <w:tc>
          <w:tcPr>
            <w:tcW w:w="3828" w:type="dxa"/>
            <w:tcBorders>
              <w:top w:val="nil"/>
              <w:left w:val="nil"/>
              <w:bottom w:val="nil"/>
              <w:right w:val="nil"/>
            </w:tcBorders>
            <w:shd w:val="clear" w:color="000000" w:fill="82CEE8"/>
            <w:noWrap/>
            <w:vAlign w:val="center"/>
            <w:hideMark/>
          </w:tcPr>
          <w:p w:rsidR="00F673FD" w:rsidRPr="00F673FD" w:rsidRDefault="00F673FD" w:rsidP="00F673FD">
            <w:pPr>
              <w:spacing w:after="0" w:line="240" w:lineRule="auto"/>
              <w:rPr>
                <w:rFonts w:ascii="Calibri" w:eastAsia="Times New Roman" w:hAnsi="Calibri" w:cs="Calibri"/>
                <w:b/>
                <w:bCs/>
                <w:color w:val="213744"/>
                <w:sz w:val="24"/>
                <w:szCs w:val="24"/>
                <w:lang w:eastAsia="fr-FR"/>
              </w:rPr>
            </w:pPr>
            <w:r w:rsidRPr="00F673FD">
              <w:rPr>
                <w:rFonts w:ascii="Calibri" w:eastAsia="Times New Roman" w:hAnsi="Calibri" w:cs="Calibri"/>
                <w:b/>
                <w:bCs/>
                <w:color w:val="213744"/>
                <w:sz w:val="24"/>
                <w:szCs w:val="24"/>
                <w:lang w:eastAsia="fr-FR"/>
              </w:rPr>
              <w:t>= EPARGNE BRUTE (EB)</w:t>
            </w:r>
          </w:p>
        </w:tc>
        <w:tc>
          <w:tcPr>
            <w:tcW w:w="1789" w:type="dxa"/>
            <w:tcBorders>
              <w:top w:val="nil"/>
              <w:left w:val="nil"/>
              <w:bottom w:val="nil"/>
              <w:right w:val="nil"/>
            </w:tcBorders>
            <w:shd w:val="clear" w:color="000000" w:fill="82CEE8"/>
            <w:noWrap/>
            <w:vAlign w:val="center"/>
            <w:hideMark/>
          </w:tcPr>
          <w:p w:rsidR="00F673FD" w:rsidRPr="00F673FD" w:rsidRDefault="00F673FD" w:rsidP="00F673FD">
            <w:pPr>
              <w:spacing w:after="0" w:line="240" w:lineRule="auto"/>
              <w:jc w:val="right"/>
              <w:rPr>
                <w:rFonts w:ascii="Calibri" w:eastAsia="Times New Roman" w:hAnsi="Calibri" w:cs="Calibri"/>
                <w:b/>
                <w:bCs/>
                <w:color w:val="213744"/>
                <w:sz w:val="24"/>
                <w:szCs w:val="24"/>
                <w:lang w:eastAsia="fr-FR"/>
              </w:rPr>
            </w:pPr>
            <w:r w:rsidRPr="00F673FD">
              <w:rPr>
                <w:rFonts w:ascii="Calibri" w:eastAsia="Times New Roman" w:hAnsi="Calibri" w:cs="Calibri"/>
                <w:b/>
                <w:bCs/>
                <w:color w:val="213744"/>
                <w:sz w:val="24"/>
                <w:szCs w:val="24"/>
                <w:lang w:eastAsia="fr-FR"/>
              </w:rPr>
              <w:t> </w:t>
            </w:r>
          </w:p>
        </w:tc>
        <w:tc>
          <w:tcPr>
            <w:tcW w:w="1840" w:type="dxa"/>
            <w:tcBorders>
              <w:top w:val="nil"/>
              <w:left w:val="nil"/>
              <w:bottom w:val="nil"/>
              <w:right w:val="nil"/>
            </w:tcBorders>
            <w:shd w:val="clear" w:color="000000" w:fill="82CEE8"/>
            <w:noWrap/>
            <w:vAlign w:val="center"/>
            <w:hideMark/>
          </w:tcPr>
          <w:p w:rsidR="00F673FD" w:rsidRPr="00F673FD" w:rsidRDefault="00F673FD" w:rsidP="00F673FD">
            <w:pPr>
              <w:spacing w:after="0" w:line="240" w:lineRule="auto"/>
              <w:jc w:val="right"/>
              <w:rPr>
                <w:rFonts w:ascii="Calibri" w:eastAsia="Times New Roman" w:hAnsi="Calibri" w:cs="Calibri"/>
                <w:b/>
                <w:bCs/>
                <w:color w:val="213744"/>
                <w:sz w:val="24"/>
                <w:szCs w:val="24"/>
                <w:lang w:eastAsia="fr-FR"/>
              </w:rPr>
            </w:pPr>
            <w:r w:rsidRPr="00F673FD">
              <w:rPr>
                <w:rFonts w:ascii="Calibri" w:eastAsia="Times New Roman" w:hAnsi="Calibri" w:cs="Calibri"/>
                <w:b/>
                <w:bCs/>
                <w:color w:val="213744"/>
                <w:sz w:val="24"/>
                <w:szCs w:val="24"/>
                <w:lang w:eastAsia="fr-FR"/>
              </w:rPr>
              <w:t>2 818 456,00</w:t>
            </w:r>
          </w:p>
        </w:tc>
      </w:tr>
      <w:tr w:rsidR="00F673FD" w:rsidRPr="00F673FD" w:rsidTr="00F673FD">
        <w:trPr>
          <w:divId w:val="145317189"/>
          <w:trHeight w:val="315"/>
        </w:trPr>
        <w:tc>
          <w:tcPr>
            <w:tcW w:w="3828"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rPr>
                <w:rFonts w:ascii="Calibri" w:eastAsia="Times New Roman" w:hAnsi="Calibri" w:cs="Calibri"/>
                <w:color w:val="272A2E"/>
                <w:sz w:val="24"/>
                <w:szCs w:val="24"/>
                <w:lang w:eastAsia="fr-FR"/>
              </w:rPr>
            </w:pPr>
            <w:r w:rsidRPr="00F673FD">
              <w:rPr>
                <w:rFonts w:ascii="Calibri" w:eastAsia="Times New Roman" w:hAnsi="Calibri" w:cs="Calibri"/>
                <w:color w:val="272A2E"/>
                <w:sz w:val="24"/>
                <w:szCs w:val="24"/>
                <w:lang w:eastAsia="fr-FR"/>
              </w:rPr>
              <w:t>- Capital</w:t>
            </w:r>
          </w:p>
        </w:tc>
        <w:tc>
          <w:tcPr>
            <w:tcW w:w="1789"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jc w:val="right"/>
              <w:rPr>
                <w:rFonts w:ascii="Calibri" w:eastAsia="Times New Roman" w:hAnsi="Calibri" w:cs="Calibri"/>
                <w:color w:val="272A2E"/>
                <w:sz w:val="24"/>
                <w:szCs w:val="24"/>
                <w:lang w:eastAsia="fr-FR"/>
              </w:rPr>
            </w:pPr>
            <w:r w:rsidRPr="00F673FD">
              <w:rPr>
                <w:rFonts w:ascii="Calibri" w:eastAsia="Times New Roman" w:hAnsi="Calibri" w:cs="Calibri"/>
                <w:color w:val="272A2E"/>
                <w:sz w:val="24"/>
                <w:szCs w:val="24"/>
                <w:lang w:eastAsia="fr-FR"/>
              </w:rPr>
              <w:t> </w:t>
            </w:r>
          </w:p>
        </w:tc>
        <w:tc>
          <w:tcPr>
            <w:tcW w:w="1840" w:type="dxa"/>
            <w:tcBorders>
              <w:top w:val="nil"/>
              <w:left w:val="nil"/>
              <w:bottom w:val="nil"/>
              <w:right w:val="nil"/>
            </w:tcBorders>
            <w:shd w:val="clear" w:color="000000" w:fill="FAF9F6"/>
            <w:noWrap/>
            <w:vAlign w:val="center"/>
            <w:hideMark/>
          </w:tcPr>
          <w:p w:rsidR="00F673FD" w:rsidRPr="00F673FD" w:rsidRDefault="00F673FD" w:rsidP="00F673FD">
            <w:pPr>
              <w:spacing w:after="0" w:line="240" w:lineRule="auto"/>
              <w:jc w:val="right"/>
              <w:rPr>
                <w:rFonts w:ascii="Calibri" w:eastAsia="Times New Roman" w:hAnsi="Calibri" w:cs="Calibri"/>
                <w:color w:val="272A2E"/>
                <w:sz w:val="24"/>
                <w:szCs w:val="24"/>
                <w:lang w:eastAsia="fr-FR"/>
              </w:rPr>
            </w:pPr>
            <w:r w:rsidRPr="00F673FD">
              <w:rPr>
                <w:rFonts w:ascii="Calibri" w:eastAsia="Times New Roman" w:hAnsi="Calibri" w:cs="Calibri"/>
                <w:color w:val="272A2E"/>
                <w:sz w:val="24"/>
                <w:szCs w:val="24"/>
                <w:lang w:eastAsia="fr-FR"/>
              </w:rPr>
              <w:t>467 500</w:t>
            </w:r>
          </w:p>
        </w:tc>
      </w:tr>
      <w:tr w:rsidR="00F673FD" w:rsidRPr="00F673FD" w:rsidTr="00F673FD">
        <w:trPr>
          <w:divId w:val="145317189"/>
          <w:trHeight w:val="315"/>
        </w:trPr>
        <w:tc>
          <w:tcPr>
            <w:tcW w:w="3828" w:type="dxa"/>
            <w:tcBorders>
              <w:top w:val="nil"/>
              <w:left w:val="nil"/>
              <w:bottom w:val="nil"/>
              <w:right w:val="nil"/>
            </w:tcBorders>
            <w:shd w:val="clear" w:color="000000" w:fill="82CEE8"/>
            <w:noWrap/>
            <w:vAlign w:val="center"/>
            <w:hideMark/>
          </w:tcPr>
          <w:p w:rsidR="00F673FD" w:rsidRPr="00F673FD" w:rsidRDefault="00F673FD" w:rsidP="00F673FD">
            <w:pPr>
              <w:spacing w:after="0" w:line="240" w:lineRule="auto"/>
              <w:rPr>
                <w:rFonts w:ascii="Calibri" w:eastAsia="Times New Roman" w:hAnsi="Calibri" w:cs="Calibri"/>
                <w:b/>
                <w:bCs/>
                <w:color w:val="213744"/>
                <w:sz w:val="24"/>
                <w:szCs w:val="24"/>
                <w:lang w:eastAsia="fr-FR"/>
              </w:rPr>
            </w:pPr>
            <w:r w:rsidRPr="00F673FD">
              <w:rPr>
                <w:rFonts w:ascii="Calibri" w:eastAsia="Times New Roman" w:hAnsi="Calibri" w:cs="Calibri"/>
                <w:b/>
                <w:bCs/>
                <w:color w:val="213744"/>
                <w:sz w:val="24"/>
                <w:szCs w:val="24"/>
                <w:lang w:eastAsia="fr-FR"/>
              </w:rPr>
              <w:t>= EPARGNE NETTE (EN)</w:t>
            </w:r>
          </w:p>
        </w:tc>
        <w:tc>
          <w:tcPr>
            <w:tcW w:w="1789" w:type="dxa"/>
            <w:tcBorders>
              <w:top w:val="nil"/>
              <w:left w:val="nil"/>
              <w:bottom w:val="nil"/>
              <w:right w:val="nil"/>
            </w:tcBorders>
            <w:shd w:val="clear" w:color="000000" w:fill="82CEE8"/>
            <w:noWrap/>
            <w:vAlign w:val="center"/>
            <w:hideMark/>
          </w:tcPr>
          <w:p w:rsidR="00F673FD" w:rsidRPr="00F673FD" w:rsidRDefault="00F673FD" w:rsidP="00F673FD">
            <w:pPr>
              <w:spacing w:after="0" w:line="240" w:lineRule="auto"/>
              <w:jc w:val="right"/>
              <w:rPr>
                <w:rFonts w:ascii="Calibri" w:eastAsia="Times New Roman" w:hAnsi="Calibri" w:cs="Calibri"/>
                <w:b/>
                <w:bCs/>
                <w:color w:val="213744"/>
                <w:sz w:val="24"/>
                <w:szCs w:val="24"/>
                <w:lang w:eastAsia="fr-FR"/>
              </w:rPr>
            </w:pPr>
            <w:r w:rsidRPr="00F673FD">
              <w:rPr>
                <w:rFonts w:ascii="Calibri" w:eastAsia="Times New Roman" w:hAnsi="Calibri" w:cs="Calibri"/>
                <w:b/>
                <w:bCs/>
                <w:color w:val="213744"/>
                <w:sz w:val="24"/>
                <w:szCs w:val="24"/>
                <w:lang w:eastAsia="fr-FR"/>
              </w:rPr>
              <w:t> </w:t>
            </w:r>
          </w:p>
        </w:tc>
        <w:tc>
          <w:tcPr>
            <w:tcW w:w="1840" w:type="dxa"/>
            <w:tcBorders>
              <w:top w:val="nil"/>
              <w:left w:val="nil"/>
              <w:bottom w:val="nil"/>
              <w:right w:val="nil"/>
            </w:tcBorders>
            <w:shd w:val="clear" w:color="000000" w:fill="82CEE8"/>
            <w:noWrap/>
            <w:vAlign w:val="center"/>
            <w:hideMark/>
          </w:tcPr>
          <w:p w:rsidR="00F673FD" w:rsidRPr="00F673FD" w:rsidRDefault="00F673FD" w:rsidP="00F673FD">
            <w:pPr>
              <w:spacing w:after="0" w:line="240" w:lineRule="auto"/>
              <w:jc w:val="right"/>
              <w:rPr>
                <w:rFonts w:ascii="Calibri" w:eastAsia="Times New Roman" w:hAnsi="Calibri" w:cs="Calibri"/>
                <w:b/>
                <w:bCs/>
                <w:color w:val="213744"/>
                <w:sz w:val="24"/>
                <w:szCs w:val="24"/>
                <w:lang w:eastAsia="fr-FR"/>
              </w:rPr>
            </w:pPr>
            <w:r w:rsidRPr="00F673FD">
              <w:rPr>
                <w:rFonts w:ascii="Calibri" w:eastAsia="Times New Roman" w:hAnsi="Calibri" w:cs="Calibri"/>
                <w:b/>
                <w:bCs/>
                <w:color w:val="213744"/>
                <w:sz w:val="24"/>
                <w:szCs w:val="24"/>
                <w:lang w:eastAsia="fr-FR"/>
              </w:rPr>
              <w:t>2 350 956,00</w:t>
            </w:r>
          </w:p>
        </w:tc>
      </w:tr>
    </w:tbl>
    <w:p w:rsidR="0040406D" w:rsidRDefault="00BB12BE" w:rsidP="0040406D">
      <w:pPr>
        <w:jc w:val="both"/>
        <w:rPr>
          <w:b/>
          <w:u w:val="single"/>
        </w:rPr>
      </w:pPr>
      <w:r>
        <w:rPr>
          <w:b/>
          <w:u w:val="single"/>
        </w:rPr>
        <w:fldChar w:fldCharType="end"/>
      </w:r>
    </w:p>
    <w:p w:rsidR="003C0BE2" w:rsidRDefault="003C0BE2" w:rsidP="005318B7">
      <w:pPr>
        <w:spacing w:before="100" w:beforeAutospacing="1" w:after="0" w:line="240" w:lineRule="auto"/>
        <w:ind w:right="6"/>
        <w:rPr>
          <w:rFonts w:ascii="Times New Roman" w:eastAsia="Times New Roman" w:hAnsi="Times New Roman" w:cs="Times New Roman"/>
          <w:sz w:val="24"/>
          <w:szCs w:val="24"/>
          <w:lang w:eastAsia="fr-FR"/>
        </w:rPr>
      </w:pPr>
    </w:p>
    <w:p w:rsidR="003967D3" w:rsidRPr="002270FE" w:rsidRDefault="00AE5830" w:rsidP="00AE5830">
      <w:pPr>
        <w:shd w:val="clear" w:color="auto" w:fill="FBE4D5" w:themeFill="accent2" w:themeFillTint="33"/>
        <w:jc w:val="both"/>
        <w:rPr>
          <w:b/>
        </w:rPr>
      </w:pPr>
      <w:r w:rsidRPr="002270FE">
        <w:rPr>
          <w:b/>
        </w:rPr>
        <w:t xml:space="preserve">UN ENDETTEMENT CONTENU, SECURISE A UN TAUX MOYEN </w:t>
      </w:r>
      <w:r w:rsidR="00F77EB3">
        <w:rPr>
          <w:b/>
        </w:rPr>
        <w:t>MAITRISE</w:t>
      </w:r>
    </w:p>
    <w:p w:rsidR="003967D3" w:rsidRPr="002270FE" w:rsidRDefault="003967D3" w:rsidP="00F26D78">
      <w:pPr>
        <w:jc w:val="both"/>
        <w:rPr>
          <w:b/>
        </w:rPr>
      </w:pPr>
      <w:r w:rsidRPr="002270FE">
        <w:rPr>
          <w:b/>
        </w:rPr>
        <w:t>Encours</w:t>
      </w:r>
      <w:r w:rsidR="00EA6B55">
        <w:rPr>
          <w:b/>
        </w:rPr>
        <w:t xml:space="preserve"> budget principal</w:t>
      </w:r>
    </w:p>
    <w:tbl>
      <w:tblPr>
        <w:tblStyle w:val="Grilledutableau"/>
        <w:tblW w:w="0" w:type="auto"/>
        <w:tblLook w:val="04A0" w:firstRow="1" w:lastRow="0" w:firstColumn="1" w:lastColumn="0" w:noHBand="0" w:noVBand="1"/>
      </w:tblPr>
      <w:tblGrid>
        <w:gridCol w:w="4106"/>
        <w:gridCol w:w="2410"/>
        <w:gridCol w:w="2546"/>
      </w:tblGrid>
      <w:tr w:rsidR="00EA6B55" w:rsidRPr="00107955" w:rsidTr="00EA6B55">
        <w:tc>
          <w:tcPr>
            <w:tcW w:w="4106" w:type="dxa"/>
            <w:shd w:val="clear" w:color="auto" w:fill="F7CAAC" w:themeFill="accent2" w:themeFillTint="66"/>
          </w:tcPr>
          <w:p w:rsidR="00EA6B55" w:rsidRPr="00107955" w:rsidRDefault="00EA6B55" w:rsidP="00F14FBB">
            <w:pPr>
              <w:jc w:val="both"/>
            </w:pPr>
            <w:bookmarkStart w:id="4" w:name="_Hlk161138099"/>
          </w:p>
        </w:tc>
        <w:tc>
          <w:tcPr>
            <w:tcW w:w="2410" w:type="dxa"/>
            <w:shd w:val="clear" w:color="auto" w:fill="F7CAAC" w:themeFill="accent2" w:themeFillTint="66"/>
          </w:tcPr>
          <w:p w:rsidR="00EA6B55" w:rsidRDefault="008F6EC6" w:rsidP="00EA6B55">
            <w:pPr>
              <w:jc w:val="center"/>
            </w:pPr>
            <w:r>
              <w:t>Au</w:t>
            </w:r>
            <w:r w:rsidR="00EA6B55">
              <w:t xml:space="preserve"> 01/01/2023</w:t>
            </w:r>
          </w:p>
        </w:tc>
        <w:tc>
          <w:tcPr>
            <w:tcW w:w="2546" w:type="dxa"/>
            <w:shd w:val="clear" w:color="auto" w:fill="F7CAAC" w:themeFill="accent2" w:themeFillTint="66"/>
          </w:tcPr>
          <w:p w:rsidR="00EA6B55" w:rsidRPr="00107955" w:rsidRDefault="008F6EC6" w:rsidP="00EA6B55">
            <w:pPr>
              <w:jc w:val="center"/>
            </w:pPr>
            <w:r w:rsidRPr="00107955">
              <w:t>Au</w:t>
            </w:r>
            <w:r w:rsidR="00EA6B55" w:rsidRPr="00107955">
              <w:t xml:space="preserve"> 01/01/2024</w:t>
            </w:r>
          </w:p>
        </w:tc>
      </w:tr>
      <w:tr w:rsidR="00EA6B55" w:rsidRPr="00107955" w:rsidTr="00EA6B55">
        <w:tc>
          <w:tcPr>
            <w:tcW w:w="4106" w:type="dxa"/>
          </w:tcPr>
          <w:p w:rsidR="00EA6B55" w:rsidRPr="00107955" w:rsidRDefault="00EA6B55" w:rsidP="00EA6B55">
            <w:pPr>
              <w:jc w:val="both"/>
            </w:pPr>
            <w:r w:rsidRPr="00107955">
              <w:t xml:space="preserve">Encours de la dette </w:t>
            </w:r>
          </w:p>
        </w:tc>
        <w:tc>
          <w:tcPr>
            <w:tcW w:w="2410" w:type="dxa"/>
          </w:tcPr>
          <w:p w:rsidR="00EA6B55" w:rsidRDefault="00EA6B55" w:rsidP="00EA6B55">
            <w:pPr>
              <w:jc w:val="center"/>
            </w:pPr>
            <w:r>
              <w:t>4 933 766 €</w:t>
            </w:r>
          </w:p>
        </w:tc>
        <w:tc>
          <w:tcPr>
            <w:tcW w:w="2546" w:type="dxa"/>
          </w:tcPr>
          <w:p w:rsidR="00EA6B55" w:rsidRDefault="00EA6B55" w:rsidP="00EA6B55">
            <w:pPr>
              <w:jc w:val="center"/>
            </w:pPr>
            <w:r>
              <w:t>6 061 242 €</w:t>
            </w:r>
          </w:p>
        </w:tc>
      </w:tr>
      <w:tr w:rsidR="00EA6B55" w:rsidRPr="00107955" w:rsidTr="00EA6B55">
        <w:tc>
          <w:tcPr>
            <w:tcW w:w="4106" w:type="dxa"/>
          </w:tcPr>
          <w:p w:rsidR="00EA6B55" w:rsidRPr="00107955" w:rsidRDefault="00EA6B55" w:rsidP="00EA6B55">
            <w:pPr>
              <w:jc w:val="both"/>
            </w:pPr>
            <w:r w:rsidRPr="00107955">
              <w:t>Répartition de l’encours</w:t>
            </w:r>
          </w:p>
        </w:tc>
        <w:tc>
          <w:tcPr>
            <w:tcW w:w="2410" w:type="dxa"/>
          </w:tcPr>
          <w:p w:rsidR="00EA6B55" w:rsidRPr="00107955" w:rsidRDefault="00EA6B55" w:rsidP="00EA6B55">
            <w:pPr>
              <w:jc w:val="both"/>
            </w:pPr>
          </w:p>
        </w:tc>
        <w:tc>
          <w:tcPr>
            <w:tcW w:w="2546" w:type="dxa"/>
          </w:tcPr>
          <w:p w:rsidR="00EA6B55" w:rsidRPr="00107955" w:rsidRDefault="00EA6B55" w:rsidP="00EA6B55">
            <w:pPr>
              <w:jc w:val="both"/>
            </w:pPr>
          </w:p>
        </w:tc>
      </w:tr>
      <w:tr w:rsidR="00EA6B55" w:rsidRPr="00107955" w:rsidTr="00EA6B55">
        <w:tc>
          <w:tcPr>
            <w:tcW w:w="4106" w:type="dxa"/>
          </w:tcPr>
          <w:p w:rsidR="00EA6B55" w:rsidRPr="00107955" w:rsidRDefault="00EA6B55" w:rsidP="00EA6B55">
            <w:pPr>
              <w:jc w:val="right"/>
            </w:pPr>
            <w:r w:rsidRPr="00107955">
              <w:t xml:space="preserve">Taux fixe </w:t>
            </w:r>
          </w:p>
        </w:tc>
        <w:tc>
          <w:tcPr>
            <w:tcW w:w="2410" w:type="dxa"/>
          </w:tcPr>
          <w:p w:rsidR="00EA6B55" w:rsidRPr="00107955" w:rsidRDefault="00080360" w:rsidP="00080360">
            <w:pPr>
              <w:jc w:val="center"/>
            </w:pPr>
            <w:r>
              <w:t>65.80%</w:t>
            </w:r>
          </w:p>
        </w:tc>
        <w:tc>
          <w:tcPr>
            <w:tcW w:w="2546" w:type="dxa"/>
          </w:tcPr>
          <w:p w:rsidR="00EA6B55" w:rsidRPr="00107955" w:rsidRDefault="00EA6B55" w:rsidP="00EA6B55">
            <w:pPr>
              <w:jc w:val="center"/>
            </w:pPr>
            <w:r>
              <w:t>48.41%</w:t>
            </w:r>
          </w:p>
        </w:tc>
      </w:tr>
      <w:tr w:rsidR="00EA6B55" w:rsidRPr="00107955" w:rsidTr="00EA6B55">
        <w:tc>
          <w:tcPr>
            <w:tcW w:w="4106" w:type="dxa"/>
          </w:tcPr>
          <w:p w:rsidR="00EA6B55" w:rsidRPr="00107955" w:rsidRDefault="00EA6B55" w:rsidP="00EA6B55">
            <w:pPr>
              <w:jc w:val="right"/>
            </w:pPr>
            <w:r w:rsidRPr="00107955">
              <w:t xml:space="preserve">Taux variable : </w:t>
            </w:r>
          </w:p>
        </w:tc>
        <w:tc>
          <w:tcPr>
            <w:tcW w:w="2410" w:type="dxa"/>
          </w:tcPr>
          <w:p w:rsidR="00EA6B55" w:rsidRPr="00107955" w:rsidRDefault="00080360" w:rsidP="00080360">
            <w:pPr>
              <w:jc w:val="center"/>
            </w:pPr>
            <w:r>
              <w:t>34.20%</w:t>
            </w:r>
          </w:p>
        </w:tc>
        <w:tc>
          <w:tcPr>
            <w:tcW w:w="2546" w:type="dxa"/>
          </w:tcPr>
          <w:p w:rsidR="00EA6B55" w:rsidRPr="00107955" w:rsidRDefault="00EA6B55" w:rsidP="00EA6B55">
            <w:pPr>
              <w:jc w:val="center"/>
            </w:pPr>
            <w:r>
              <w:t>51.59%</w:t>
            </w:r>
          </w:p>
        </w:tc>
      </w:tr>
      <w:tr w:rsidR="00EA6B55" w:rsidRPr="00107955" w:rsidTr="00EA6B55">
        <w:tc>
          <w:tcPr>
            <w:tcW w:w="4106" w:type="dxa"/>
          </w:tcPr>
          <w:p w:rsidR="00EA6B55" w:rsidRPr="00107955" w:rsidRDefault="00EA6B55" w:rsidP="00EA6B55">
            <w:pPr>
              <w:jc w:val="right"/>
            </w:pPr>
            <w:r w:rsidRPr="00107955">
              <w:t xml:space="preserve">Taux structuré : </w:t>
            </w:r>
          </w:p>
        </w:tc>
        <w:tc>
          <w:tcPr>
            <w:tcW w:w="2410" w:type="dxa"/>
          </w:tcPr>
          <w:p w:rsidR="00EA6B55" w:rsidRDefault="00080360" w:rsidP="00080360">
            <w:pPr>
              <w:jc w:val="center"/>
            </w:pPr>
            <w:r>
              <w:t>0</w:t>
            </w:r>
          </w:p>
        </w:tc>
        <w:tc>
          <w:tcPr>
            <w:tcW w:w="2546" w:type="dxa"/>
          </w:tcPr>
          <w:p w:rsidR="00EA6B55" w:rsidRPr="00107955" w:rsidRDefault="00EA6B55" w:rsidP="00EA6B55">
            <w:pPr>
              <w:jc w:val="center"/>
            </w:pPr>
            <w:r>
              <w:t>0%</w:t>
            </w:r>
          </w:p>
        </w:tc>
      </w:tr>
      <w:tr w:rsidR="00EA6B55" w:rsidRPr="00107955" w:rsidTr="00EA6B55">
        <w:tc>
          <w:tcPr>
            <w:tcW w:w="4106" w:type="dxa"/>
          </w:tcPr>
          <w:p w:rsidR="00EA6B55" w:rsidRPr="00107955" w:rsidRDefault="00EA6B55" w:rsidP="00EA6B55">
            <w:pPr>
              <w:jc w:val="right"/>
            </w:pPr>
            <w:r>
              <w:t>Taux d’intérêt moyen de la dette</w:t>
            </w:r>
          </w:p>
        </w:tc>
        <w:tc>
          <w:tcPr>
            <w:tcW w:w="2410" w:type="dxa"/>
          </w:tcPr>
          <w:p w:rsidR="00EA6B55" w:rsidRDefault="00080360" w:rsidP="00080360">
            <w:pPr>
              <w:jc w:val="center"/>
            </w:pPr>
            <w:r>
              <w:t>3.48%</w:t>
            </w:r>
          </w:p>
        </w:tc>
        <w:tc>
          <w:tcPr>
            <w:tcW w:w="2546" w:type="dxa"/>
          </w:tcPr>
          <w:p w:rsidR="00EA6B55" w:rsidRDefault="00EA6B55" w:rsidP="00EA6B55">
            <w:pPr>
              <w:jc w:val="center"/>
            </w:pPr>
            <w:r>
              <w:t>3.83%</w:t>
            </w:r>
          </w:p>
        </w:tc>
      </w:tr>
      <w:bookmarkEnd w:id="4"/>
    </w:tbl>
    <w:p w:rsidR="00F26D78" w:rsidRDefault="00F26D78" w:rsidP="00107955">
      <w:pPr>
        <w:ind w:firstLine="708"/>
        <w:jc w:val="both"/>
      </w:pPr>
    </w:p>
    <w:p w:rsidR="00EA6B55" w:rsidRPr="009B4537" w:rsidRDefault="009B4537" w:rsidP="009B4537">
      <w:pPr>
        <w:jc w:val="both"/>
        <w:rPr>
          <w:b/>
        </w:rPr>
      </w:pPr>
      <w:r w:rsidRPr="009B4537">
        <w:rPr>
          <w:b/>
        </w:rPr>
        <w:t>Profil</w:t>
      </w:r>
      <w:r w:rsidR="00EA6B55" w:rsidRPr="009B4537">
        <w:rPr>
          <w:b/>
        </w:rPr>
        <w:t xml:space="preserve"> d’extinction de la dette</w:t>
      </w:r>
    </w:p>
    <w:tbl>
      <w:tblPr>
        <w:tblStyle w:val="Grilledutableau"/>
        <w:tblW w:w="0" w:type="auto"/>
        <w:tblLook w:val="04A0" w:firstRow="1" w:lastRow="0" w:firstColumn="1" w:lastColumn="0" w:noHBand="0" w:noVBand="1"/>
      </w:tblPr>
      <w:tblGrid>
        <w:gridCol w:w="4106"/>
        <w:gridCol w:w="2410"/>
        <w:gridCol w:w="2546"/>
      </w:tblGrid>
      <w:tr w:rsidR="004A0C6E" w:rsidRPr="00107955" w:rsidTr="00F673FD">
        <w:tc>
          <w:tcPr>
            <w:tcW w:w="4106" w:type="dxa"/>
            <w:shd w:val="clear" w:color="auto" w:fill="F7CAAC" w:themeFill="accent2" w:themeFillTint="66"/>
          </w:tcPr>
          <w:p w:rsidR="004A0C6E" w:rsidRPr="00107955" w:rsidRDefault="004A0C6E" w:rsidP="00F673FD">
            <w:pPr>
              <w:jc w:val="both"/>
            </w:pPr>
          </w:p>
        </w:tc>
        <w:tc>
          <w:tcPr>
            <w:tcW w:w="2410" w:type="dxa"/>
            <w:shd w:val="clear" w:color="auto" w:fill="F7CAAC" w:themeFill="accent2" w:themeFillTint="66"/>
          </w:tcPr>
          <w:p w:rsidR="004A0C6E" w:rsidRDefault="004A0C6E" w:rsidP="00F673FD">
            <w:pPr>
              <w:jc w:val="center"/>
            </w:pPr>
            <w:r>
              <w:t>Au 01/01/2023</w:t>
            </w:r>
          </w:p>
        </w:tc>
        <w:tc>
          <w:tcPr>
            <w:tcW w:w="2546" w:type="dxa"/>
            <w:shd w:val="clear" w:color="auto" w:fill="F7CAAC" w:themeFill="accent2" w:themeFillTint="66"/>
          </w:tcPr>
          <w:p w:rsidR="004A0C6E" w:rsidRPr="00107955" w:rsidRDefault="004A0C6E" w:rsidP="00F673FD">
            <w:pPr>
              <w:jc w:val="center"/>
            </w:pPr>
            <w:r w:rsidRPr="00107955">
              <w:t>Au 01/01/2024</w:t>
            </w:r>
          </w:p>
        </w:tc>
      </w:tr>
      <w:tr w:rsidR="004A0C6E" w:rsidRPr="00107955" w:rsidTr="00F673FD">
        <w:tc>
          <w:tcPr>
            <w:tcW w:w="4106" w:type="dxa"/>
          </w:tcPr>
          <w:p w:rsidR="004A0C6E" w:rsidRPr="00107955" w:rsidRDefault="004A0C6E" w:rsidP="00F673FD">
            <w:pPr>
              <w:jc w:val="both"/>
            </w:pPr>
            <w:r w:rsidRPr="00107955">
              <w:t xml:space="preserve">Encours de la dette </w:t>
            </w:r>
          </w:p>
        </w:tc>
        <w:tc>
          <w:tcPr>
            <w:tcW w:w="2410" w:type="dxa"/>
          </w:tcPr>
          <w:p w:rsidR="004A0C6E" w:rsidRDefault="004A0C6E" w:rsidP="00F673FD">
            <w:pPr>
              <w:jc w:val="center"/>
            </w:pPr>
            <w:r>
              <w:t>4 933 766 €</w:t>
            </w:r>
          </w:p>
        </w:tc>
        <w:tc>
          <w:tcPr>
            <w:tcW w:w="2546" w:type="dxa"/>
          </w:tcPr>
          <w:p w:rsidR="004A0C6E" w:rsidRDefault="004A0C6E" w:rsidP="00F673FD">
            <w:pPr>
              <w:jc w:val="center"/>
            </w:pPr>
            <w:r>
              <w:t>6 061 242 €</w:t>
            </w:r>
          </w:p>
        </w:tc>
      </w:tr>
      <w:tr w:rsidR="004A0C6E" w:rsidRPr="00107955" w:rsidTr="00F673FD">
        <w:tc>
          <w:tcPr>
            <w:tcW w:w="4106" w:type="dxa"/>
          </w:tcPr>
          <w:p w:rsidR="004A0C6E" w:rsidRPr="00107955" w:rsidRDefault="004A0C6E" w:rsidP="00F673FD">
            <w:pPr>
              <w:jc w:val="both"/>
            </w:pPr>
            <w:r w:rsidRPr="00107955">
              <w:t>Répartition de l’encours</w:t>
            </w:r>
          </w:p>
        </w:tc>
        <w:tc>
          <w:tcPr>
            <w:tcW w:w="2410" w:type="dxa"/>
          </w:tcPr>
          <w:p w:rsidR="004A0C6E" w:rsidRPr="00107955" w:rsidRDefault="004A0C6E" w:rsidP="00F673FD">
            <w:pPr>
              <w:jc w:val="both"/>
            </w:pPr>
          </w:p>
        </w:tc>
        <w:tc>
          <w:tcPr>
            <w:tcW w:w="2546" w:type="dxa"/>
          </w:tcPr>
          <w:p w:rsidR="004A0C6E" w:rsidRPr="00107955" w:rsidRDefault="004A0C6E" w:rsidP="00F673FD">
            <w:pPr>
              <w:jc w:val="both"/>
            </w:pPr>
          </w:p>
        </w:tc>
      </w:tr>
      <w:tr w:rsidR="004A0C6E" w:rsidRPr="00107955" w:rsidTr="00F673FD">
        <w:tc>
          <w:tcPr>
            <w:tcW w:w="4106" w:type="dxa"/>
          </w:tcPr>
          <w:p w:rsidR="004A0C6E" w:rsidRPr="00107955" w:rsidRDefault="004A0C6E" w:rsidP="00F673FD">
            <w:pPr>
              <w:jc w:val="right"/>
            </w:pPr>
            <w:r w:rsidRPr="00107955">
              <w:t xml:space="preserve">Taux fixe </w:t>
            </w:r>
          </w:p>
        </w:tc>
        <w:tc>
          <w:tcPr>
            <w:tcW w:w="2410" w:type="dxa"/>
          </w:tcPr>
          <w:p w:rsidR="004A0C6E" w:rsidRPr="00107955" w:rsidRDefault="004A0C6E" w:rsidP="00F673FD">
            <w:pPr>
              <w:jc w:val="center"/>
            </w:pPr>
            <w:r>
              <w:t>65.80%</w:t>
            </w:r>
          </w:p>
        </w:tc>
        <w:tc>
          <w:tcPr>
            <w:tcW w:w="2546" w:type="dxa"/>
          </w:tcPr>
          <w:p w:rsidR="004A0C6E" w:rsidRPr="00107955" w:rsidRDefault="004A0C6E" w:rsidP="00F673FD">
            <w:pPr>
              <w:jc w:val="center"/>
            </w:pPr>
            <w:r>
              <w:t>48.41%</w:t>
            </w:r>
          </w:p>
        </w:tc>
      </w:tr>
      <w:tr w:rsidR="004A0C6E" w:rsidRPr="00107955" w:rsidTr="00F673FD">
        <w:tc>
          <w:tcPr>
            <w:tcW w:w="4106" w:type="dxa"/>
          </w:tcPr>
          <w:p w:rsidR="004A0C6E" w:rsidRPr="00107955" w:rsidRDefault="004A0C6E" w:rsidP="00F673FD">
            <w:pPr>
              <w:jc w:val="right"/>
            </w:pPr>
            <w:r w:rsidRPr="00107955">
              <w:t xml:space="preserve">Taux variable : </w:t>
            </w:r>
          </w:p>
        </w:tc>
        <w:tc>
          <w:tcPr>
            <w:tcW w:w="2410" w:type="dxa"/>
          </w:tcPr>
          <w:p w:rsidR="004A0C6E" w:rsidRPr="00107955" w:rsidRDefault="004A0C6E" w:rsidP="00F673FD">
            <w:pPr>
              <w:jc w:val="center"/>
            </w:pPr>
            <w:r>
              <w:t>34.20%</w:t>
            </w:r>
          </w:p>
        </w:tc>
        <w:tc>
          <w:tcPr>
            <w:tcW w:w="2546" w:type="dxa"/>
          </w:tcPr>
          <w:p w:rsidR="004A0C6E" w:rsidRPr="00107955" w:rsidRDefault="004A0C6E" w:rsidP="00F673FD">
            <w:pPr>
              <w:jc w:val="center"/>
            </w:pPr>
            <w:r>
              <w:t>51.59%</w:t>
            </w:r>
          </w:p>
        </w:tc>
      </w:tr>
      <w:tr w:rsidR="004A0C6E" w:rsidRPr="00107955" w:rsidTr="00F673FD">
        <w:tc>
          <w:tcPr>
            <w:tcW w:w="4106" w:type="dxa"/>
          </w:tcPr>
          <w:p w:rsidR="004A0C6E" w:rsidRPr="00107955" w:rsidRDefault="004A0C6E" w:rsidP="00F673FD">
            <w:pPr>
              <w:jc w:val="right"/>
            </w:pPr>
            <w:r w:rsidRPr="00107955">
              <w:t xml:space="preserve">Taux structuré : </w:t>
            </w:r>
          </w:p>
        </w:tc>
        <w:tc>
          <w:tcPr>
            <w:tcW w:w="2410" w:type="dxa"/>
          </w:tcPr>
          <w:p w:rsidR="004A0C6E" w:rsidRDefault="004A0C6E" w:rsidP="00F673FD">
            <w:pPr>
              <w:jc w:val="center"/>
            </w:pPr>
            <w:r>
              <w:t>0</w:t>
            </w:r>
          </w:p>
        </w:tc>
        <w:tc>
          <w:tcPr>
            <w:tcW w:w="2546" w:type="dxa"/>
          </w:tcPr>
          <w:p w:rsidR="004A0C6E" w:rsidRPr="00107955" w:rsidRDefault="004A0C6E" w:rsidP="00F673FD">
            <w:pPr>
              <w:jc w:val="center"/>
            </w:pPr>
            <w:r>
              <w:t>0%</w:t>
            </w:r>
          </w:p>
        </w:tc>
      </w:tr>
      <w:tr w:rsidR="004A0C6E" w:rsidRPr="00107955" w:rsidTr="00F673FD">
        <w:tc>
          <w:tcPr>
            <w:tcW w:w="4106" w:type="dxa"/>
          </w:tcPr>
          <w:p w:rsidR="004A0C6E" w:rsidRPr="00107955" w:rsidRDefault="004A0C6E" w:rsidP="00F673FD">
            <w:pPr>
              <w:jc w:val="right"/>
            </w:pPr>
            <w:r>
              <w:t>Taux d’intérêt moyen de la dette</w:t>
            </w:r>
          </w:p>
        </w:tc>
        <w:tc>
          <w:tcPr>
            <w:tcW w:w="2410" w:type="dxa"/>
          </w:tcPr>
          <w:p w:rsidR="004A0C6E" w:rsidRDefault="004A0C6E" w:rsidP="00F673FD">
            <w:pPr>
              <w:jc w:val="center"/>
            </w:pPr>
            <w:r>
              <w:t>3.48%</w:t>
            </w:r>
          </w:p>
        </w:tc>
        <w:tc>
          <w:tcPr>
            <w:tcW w:w="2546" w:type="dxa"/>
          </w:tcPr>
          <w:p w:rsidR="004A0C6E" w:rsidRDefault="004A0C6E" w:rsidP="00F673FD">
            <w:pPr>
              <w:jc w:val="center"/>
            </w:pPr>
            <w:r>
              <w:t>3.83%</w:t>
            </w:r>
          </w:p>
        </w:tc>
      </w:tr>
    </w:tbl>
    <w:p w:rsidR="00EA6B55" w:rsidRDefault="009B4537" w:rsidP="009B4537">
      <w:pPr>
        <w:jc w:val="both"/>
      </w:pPr>
      <w:r>
        <w:rPr>
          <w:noProof/>
          <w:lang w:eastAsia="fr-FR"/>
        </w:rPr>
        <w:drawing>
          <wp:inline distT="0" distB="0" distL="0" distR="0" wp14:anchorId="7059B8EF" wp14:editId="53270AF5">
            <wp:extent cx="5760720" cy="1955165"/>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955165"/>
                    </a:xfrm>
                    <a:prstGeom prst="rect">
                      <a:avLst/>
                    </a:prstGeom>
                  </pic:spPr>
                </pic:pic>
              </a:graphicData>
            </a:graphic>
          </wp:inline>
        </w:drawing>
      </w:r>
    </w:p>
    <w:p w:rsidR="00BB12BE" w:rsidRDefault="00BB12BE" w:rsidP="00EA6B55">
      <w:pPr>
        <w:jc w:val="both"/>
        <w:rPr>
          <w:b/>
        </w:rPr>
      </w:pPr>
    </w:p>
    <w:p w:rsidR="00B2218D" w:rsidRDefault="00B2218D" w:rsidP="00EA6B55">
      <w:pPr>
        <w:jc w:val="both"/>
        <w:rPr>
          <w:b/>
        </w:rPr>
      </w:pPr>
    </w:p>
    <w:p w:rsidR="00EA6B55" w:rsidRDefault="00EA6B55" w:rsidP="00EA6B55">
      <w:pPr>
        <w:jc w:val="both"/>
        <w:rPr>
          <w:b/>
        </w:rPr>
      </w:pPr>
      <w:r w:rsidRPr="00EA6B55">
        <w:rPr>
          <w:b/>
        </w:rPr>
        <w:t>Encours budgets consolidés</w:t>
      </w:r>
      <w:r>
        <w:rPr>
          <w:b/>
        </w:rPr>
        <w:t xml:space="preserve"> associés au budget principal (hors déchets, eau, assainissement, port)</w:t>
      </w:r>
    </w:p>
    <w:p w:rsidR="00080360" w:rsidRPr="00080360" w:rsidRDefault="00080360" w:rsidP="00EA6B55">
      <w:pPr>
        <w:jc w:val="both"/>
      </w:pPr>
      <w:r w:rsidRPr="00080360">
        <w:t>Cet encours consolidé concerne en fait le budget principal et le budget immobilier d’entreprises.</w:t>
      </w:r>
    </w:p>
    <w:tbl>
      <w:tblPr>
        <w:tblStyle w:val="Grilledutableau"/>
        <w:tblW w:w="0" w:type="auto"/>
        <w:tblLook w:val="04A0" w:firstRow="1" w:lastRow="0" w:firstColumn="1" w:lastColumn="0" w:noHBand="0" w:noVBand="1"/>
      </w:tblPr>
      <w:tblGrid>
        <w:gridCol w:w="4106"/>
        <w:gridCol w:w="2410"/>
        <w:gridCol w:w="2546"/>
      </w:tblGrid>
      <w:tr w:rsidR="00EA6B55" w:rsidRPr="00107955" w:rsidTr="00F3661A">
        <w:tc>
          <w:tcPr>
            <w:tcW w:w="4106" w:type="dxa"/>
            <w:shd w:val="clear" w:color="auto" w:fill="F7CAAC" w:themeFill="accent2" w:themeFillTint="66"/>
          </w:tcPr>
          <w:p w:rsidR="00EA6B55" w:rsidRPr="00107955" w:rsidRDefault="00EA6B55" w:rsidP="00F3661A">
            <w:pPr>
              <w:jc w:val="both"/>
            </w:pPr>
          </w:p>
        </w:tc>
        <w:tc>
          <w:tcPr>
            <w:tcW w:w="2410" w:type="dxa"/>
            <w:shd w:val="clear" w:color="auto" w:fill="F7CAAC" w:themeFill="accent2" w:themeFillTint="66"/>
          </w:tcPr>
          <w:p w:rsidR="00EA6B55" w:rsidRDefault="009B4537" w:rsidP="00F3661A">
            <w:pPr>
              <w:jc w:val="center"/>
            </w:pPr>
            <w:r>
              <w:t>Au</w:t>
            </w:r>
            <w:r w:rsidR="00EA6B55">
              <w:t xml:space="preserve"> 01/01/2023</w:t>
            </w:r>
          </w:p>
        </w:tc>
        <w:tc>
          <w:tcPr>
            <w:tcW w:w="2546" w:type="dxa"/>
            <w:shd w:val="clear" w:color="auto" w:fill="F7CAAC" w:themeFill="accent2" w:themeFillTint="66"/>
          </w:tcPr>
          <w:p w:rsidR="00EA6B55" w:rsidRPr="00107955" w:rsidRDefault="009B4537" w:rsidP="00F3661A">
            <w:pPr>
              <w:jc w:val="center"/>
            </w:pPr>
            <w:r w:rsidRPr="00107955">
              <w:t>Au</w:t>
            </w:r>
            <w:r w:rsidR="00EA6B55" w:rsidRPr="00107955">
              <w:t xml:space="preserve"> 01/01/2024</w:t>
            </w:r>
          </w:p>
        </w:tc>
      </w:tr>
      <w:tr w:rsidR="00EA6B55" w:rsidRPr="00107955" w:rsidTr="00F3661A">
        <w:tc>
          <w:tcPr>
            <w:tcW w:w="4106" w:type="dxa"/>
          </w:tcPr>
          <w:p w:rsidR="00EA6B55" w:rsidRPr="00107955" w:rsidRDefault="00EA6B55" w:rsidP="00F3661A">
            <w:pPr>
              <w:jc w:val="both"/>
            </w:pPr>
            <w:r w:rsidRPr="00107955">
              <w:t xml:space="preserve">Encours de la dette </w:t>
            </w:r>
          </w:p>
        </w:tc>
        <w:tc>
          <w:tcPr>
            <w:tcW w:w="2410" w:type="dxa"/>
          </w:tcPr>
          <w:p w:rsidR="00EA6B55" w:rsidRDefault="00080360" w:rsidP="00F3661A">
            <w:pPr>
              <w:jc w:val="center"/>
            </w:pPr>
            <w:r>
              <w:t xml:space="preserve">8 679 326 </w:t>
            </w:r>
            <w:r w:rsidR="00EA6B55">
              <w:t>€</w:t>
            </w:r>
          </w:p>
        </w:tc>
        <w:tc>
          <w:tcPr>
            <w:tcW w:w="2546" w:type="dxa"/>
          </w:tcPr>
          <w:p w:rsidR="00EA6B55" w:rsidRDefault="00F77EB3" w:rsidP="00F3661A">
            <w:pPr>
              <w:jc w:val="center"/>
            </w:pPr>
            <w:r>
              <w:t>9 540 179</w:t>
            </w:r>
            <w:r w:rsidR="00EA6B55">
              <w:t xml:space="preserve"> €</w:t>
            </w:r>
          </w:p>
        </w:tc>
      </w:tr>
      <w:tr w:rsidR="00EA6B55" w:rsidRPr="00107955" w:rsidTr="00F3661A">
        <w:tc>
          <w:tcPr>
            <w:tcW w:w="4106" w:type="dxa"/>
          </w:tcPr>
          <w:p w:rsidR="00EA6B55" w:rsidRPr="00107955" w:rsidRDefault="00EA6B55" w:rsidP="00F3661A">
            <w:pPr>
              <w:jc w:val="both"/>
            </w:pPr>
            <w:r w:rsidRPr="00107955">
              <w:t>Répartition de l’encours</w:t>
            </w:r>
          </w:p>
        </w:tc>
        <w:tc>
          <w:tcPr>
            <w:tcW w:w="2410" w:type="dxa"/>
          </w:tcPr>
          <w:p w:rsidR="00EA6B55" w:rsidRPr="00107955" w:rsidRDefault="00EA6B55" w:rsidP="00F3661A">
            <w:pPr>
              <w:jc w:val="both"/>
            </w:pPr>
          </w:p>
        </w:tc>
        <w:tc>
          <w:tcPr>
            <w:tcW w:w="2546" w:type="dxa"/>
          </w:tcPr>
          <w:p w:rsidR="00EA6B55" w:rsidRPr="00107955" w:rsidRDefault="00EA6B55" w:rsidP="00F3661A">
            <w:pPr>
              <w:jc w:val="both"/>
            </w:pPr>
          </w:p>
        </w:tc>
      </w:tr>
      <w:tr w:rsidR="00EA6B55" w:rsidRPr="00107955" w:rsidTr="00F3661A">
        <w:tc>
          <w:tcPr>
            <w:tcW w:w="4106" w:type="dxa"/>
          </w:tcPr>
          <w:p w:rsidR="00EA6B55" w:rsidRPr="00107955" w:rsidRDefault="00EA6B55" w:rsidP="00F3661A">
            <w:pPr>
              <w:jc w:val="right"/>
            </w:pPr>
            <w:r w:rsidRPr="00107955">
              <w:t xml:space="preserve">Taux fixe </w:t>
            </w:r>
          </w:p>
        </w:tc>
        <w:tc>
          <w:tcPr>
            <w:tcW w:w="2410" w:type="dxa"/>
          </w:tcPr>
          <w:p w:rsidR="00EA6B55" w:rsidRPr="00107955" w:rsidRDefault="00080360" w:rsidP="00080360">
            <w:pPr>
              <w:jc w:val="center"/>
            </w:pPr>
            <w:r>
              <w:t>81%</w:t>
            </w:r>
          </w:p>
        </w:tc>
        <w:tc>
          <w:tcPr>
            <w:tcW w:w="2546" w:type="dxa"/>
          </w:tcPr>
          <w:p w:rsidR="00EA6B55" w:rsidRPr="00107955" w:rsidRDefault="00F77EB3" w:rsidP="00F3661A">
            <w:pPr>
              <w:jc w:val="center"/>
            </w:pPr>
            <w:r>
              <w:t xml:space="preserve">67.58 </w:t>
            </w:r>
            <w:r w:rsidR="00EA6B55">
              <w:t>%</w:t>
            </w:r>
          </w:p>
        </w:tc>
      </w:tr>
      <w:tr w:rsidR="00EA6B55" w:rsidRPr="00107955" w:rsidTr="00F3661A">
        <w:tc>
          <w:tcPr>
            <w:tcW w:w="4106" w:type="dxa"/>
          </w:tcPr>
          <w:p w:rsidR="00EA6B55" w:rsidRPr="00107955" w:rsidRDefault="00EA6B55" w:rsidP="00F3661A">
            <w:pPr>
              <w:jc w:val="right"/>
            </w:pPr>
            <w:r w:rsidRPr="00107955">
              <w:t xml:space="preserve">Taux variable  </w:t>
            </w:r>
          </w:p>
        </w:tc>
        <w:tc>
          <w:tcPr>
            <w:tcW w:w="2410" w:type="dxa"/>
          </w:tcPr>
          <w:p w:rsidR="00EA6B55" w:rsidRPr="00107955" w:rsidRDefault="00080360" w:rsidP="00080360">
            <w:pPr>
              <w:jc w:val="center"/>
            </w:pPr>
            <w:r>
              <w:t>19%</w:t>
            </w:r>
          </w:p>
        </w:tc>
        <w:tc>
          <w:tcPr>
            <w:tcW w:w="2546" w:type="dxa"/>
          </w:tcPr>
          <w:p w:rsidR="00EA6B55" w:rsidRPr="00107955" w:rsidRDefault="00F77EB3" w:rsidP="00F3661A">
            <w:pPr>
              <w:jc w:val="center"/>
            </w:pPr>
            <w:r>
              <w:t xml:space="preserve">32.42 </w:t>
            </w:r>
            <w:r w:rsidR="00EA6B55">
              <w:t>%</w:t>
            </w:r>
          </w:p>
        </w:tc>
      </w:tr>
      <w:tr w:rsidR="00EA6B55" w:rsidRPr="00107955" w:rsidTr="00F3661A">
        <w:tc>
          <w:tcPr>
            <w:tcW w:w="4106" w:type="dxa"/>
          </w:tcPr>
          <w:p w:rsidR="00EA6B55" w:rsidRPr="00107955" w:rsidRDefault="00EA6B55" w:rsidP="00F3661A">
            <w:pPr>
              <w:jc w:val="right"/>
            </w:pPr>
            <w:r w:rsidRPr="00107955">
              <w:t xml:space="preserve">Taux structuré  </w:t>
            </w:r>
          </w:p>
        </w:tc>
        <w:tc>
          <w:tcPr>
            <w:tcW w:w="2410" w:type="dxa"/>
          </w:tcPr>
          <w:p w:rsidR="00EA6B55" w:rsidRDefault="00080360" w:rsidP="00080360">
            <w:pPr>
              <w:jc w:val="center"/>
            </w:pPr>
            <w:r>
              <w:t>0</w:t>
            </w:r>
          </w:p>
        </w:tc>
        <w:tc>
          <w:tcPr>
            <w:tcW w:w="2546" w:type="dxa"/>
          </w:tcPr>
          <w:p w:rsidR="00EA6B55" w:rsidRPr="00107955" w:rsidRDefault="00EA6B55" w:rsidP="00F3661A">
            <w:pPr>
              <w:jc w:val="center"/>
            </w:pPr>
            <w:r>
              <w:t>0%</w:t>
            </w:r>
          </w:p>
        </w:tc>
      </w:tr>
      <w:tr w:rsidR="00EA6B55" w:rsidRPr="00107955" w:rsidTr="00F3661A">
        <w:tc>
          <w:tcPr>
            <w:tcW w:w="4106" w:type="dxa"/>
          </w:tcPr>
          <w:p w:rsidR="00EA6B55" w:rsidRPr="00107955" w:rsidRDefault="00EA6B55" w:rsidP="00F3661A">
            <w:pPr>
              <w:jc w:val="right"/>
            </w:pPr>
            <w:r>
              <w:t>Taux d’intérêt moyen de la dette</w:t>
            </w:r>
          </w:p>
        </w:tc>
        <w:tc>
          <w:tcPr>
            <w:tcW w:w="2410" w:type="dxa"/>
          </w:tcPr>
          <w:p w:rsidR="00EA6B55" w:rsidRDefault="00080360" w:rsidP="00080360">
            <w:pPr>
              <w:jc w:val="center"/>
            </w:pPr>
            <w:r>
              <w:t>3.13%</w:t>
            </w:r>
          </w:p>
        </w:tc>
        <w:tc>
          <w:tcPr>
            <w:tcW w:w="2546" w:type="dxa"/>
          </w:tcPr>
          <w:p w:rsidR="00EA6B55" w:rsidRDefault="00EA6B55" w:rsidP="00F3661A">
            <w:pPr>
              <w:jc w:val="center"/>
            </w:pPr>
            <w:r>
              <w:t>3.</w:t>
            </w:r>
            <w:r w:rsidR="00F77EB3">
              <w:t>32</w:t>
            </w:r>
            <w:r>
              <w:t>%</w:t>
            </w:r>
          </w:p>
        </w:tc>
      </w:tr>
    </w:tbl>
    <w:p w:rsidR="00EA6B55" w:rsidRDefault="00EA6B55" w:rsidP="00EA6B55">
      <w:pPr>
        <w:jc w:val="both"/>
        <w:rPr>
          <w:b/>
        </w:rPr>
      </w:pPr>
    </w:p>
    <w:p w:rsidR="009B4537" w:rsidRDefault="009B4537" w:rsidP="00EA6B55">
      <w:pPr>
        <w:jc w:val="both"/>
        <w:rPr>
          <w:b/>
        </w:rPr>
      </w:pPr>
      <w:r>
        <w:rPr>
          <w:b/>
        </w:rPr>
        <w:t>Evolution capital restant dû et taux moyen (budget principal et immobilier d’entreprises)</w:t>
      </w:r>
    </w:p>
    <w:p w:rsidR="009B4537" w:rsidRDefault="009B4537" w:rsidP="009B4537">
      <w:pPr>
        <w:jc w:val="center"/>
        <w:rPr>
          <w:b/>
        </w:rPr>
      </w:pPr>
      <w:r w:rsidRPr="009B4537">
        <w:rPr>
          <w:noProof/>
          <w:lang w:eastAsia="fr-FR"/>
        </w:rPr>
        <w:drawing>
          <wp:inline distT="0" distB="0" distL="0" distR="0" wp14:anchorId="154009C0" wp14:editId="303B98A0">
            <wp:extent cx="3741747" cy="264161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53770" cy="2650098"/>
                    </a:xfrm>
                    <a:prstGeom prst="rect">
                      <a:avLst/>
                    </a:prstGeom>
                  </pic:spPr>
                </pic:pic>
              </a:graphicData>
            </a:graphic>
          </wp:inline>
        </w:drawing>
      </w:r>
    </w:p>
    <w:p w:rsidR="009B4537" w:rsidRDefault="009B4537" w:rsidP="00EA6B55">
      <w:pPr>
        <w:jc w:val="both"/>
        <w:rPr>
          <w:b/>
        </w:rPr>
      </w:pPr>
    </w:p>
    <w:p w:rsidR="00EA6B55" w:rsidRDefault="00F77EB3" w:rsidP="00F77EB3">
      <w:pPr>
        <w:jc w:val="both"/>
      </w:pPr>
      <w:bookmarkStart w:id="5" w:name="_Hlk163068691"/>
      <w:r>
        <w:t xml:space="preserve">A titre d’information, </w:t>
      </w:r>
      <w:r w:rsidRPr="009B4537">
        <w:rPr>
          <w:b/>
        </w:rPr>
        <w:t>l’encours consolidé (tous budgets confondus</w:t>
      </w:r>
      <w:r>
        <w:t>, y compris budgets non associés au budget principal) s’élève au 1</w:t>
      </w:r>
      <w:r w:rsidRPr="00F77EB3">
        <w:rPr>
          <w:vertAlign w:val="superscript"/>
        </w:rPr>
        <w:t>er</w:t>
      </w:r>
      <w:r>
        <w:t xml:space="preserve"> janvier 2024 à 28 227 912 € avec un taux d’intérêt moyen à 2.91%. </w:t>
      </w:r>
    </w:p>
    <w:bookmarkEnd w:id="5"/>
    <w:p w:rsidR="00EA6B55" w:rsidRDefault="00EA6B55" w:rsidP="00107955">
      <w:pPr>
        <w:ind w:firstLine="708"/>
        <w:jc w:val="both"/>
      </w:pPr>
    </w:p>
    <w:p w:rsidR="00F26D78" w:rsidRPr="00080360" w:rsidRDefault="00F26D78" w:rsidP="00F26D78">
      <w:pPr>
        <w:jc w:val="both"/>
        <w:rPr>
          <w:b/>
          <w:u w:val="single"/>
        </w:rPr>
      </w:pPr>
      <w:r w:rsidRPr="00080360">
        <w:rPr>
          <w:b/>
          <w:u w:val="single"/>
        </w:rPr>
        <w:t xml:space="preserve">Dette au budget </w:t>
      </w:r>
      <w:r w:rsidR="009B4537" w:rsidRPr="00080360">
        <w:rPr>
          <w:b/>
          <w:u w:val="single"/>
        </w:rPr>
        <w:t xml:space="preserve">principal </w:t>
      </w:r>
      <w:r w:rsidRPr="00080360">
        <w:rPr>
          <w:b/>
          <w:u w:val="single"/>
        </w:rPr>
        <w:t>2024</w:t>
      </w:r>
    </w:p>
    <w:tbl>
      <w:tblPr>
        <w:tblStyle w:val="Grilledutableau"/>
        <w:tblW w:w="0" w:type="auto"/>
        <w:tblLook w:val="04A0" w:firstRow="1" w:lastRow="0" w:firstColumn="1" w:lastColumn="0" w:noHBand="0" w:noVBand="1"/>
      </w:tblPr>
      <w:tblGrid>
        <w:gridCol w:w="4949"/>
        <w:gridCol w:w="4113"/>
      </w:tblGrid>
      <w:tr w:rsidR="00107955" w:rsidRPr="00107955" w:rsidTr="00107955">
        <w:tc>
          <w:tcPr>
            <w:tcW w:w="4949" w:type="dxa"/>
          </w:tcPr>
          <w:p w:rsidR="00107955" w:rsidRPr="00107955" w:rsidRDefault="00107955" w:rsidP="00F14FBB">
            <w:pPr>
              <w:jc w:val="both"/>
            </w:pPr>
            <w:r w:rsidRPr="00107955">
              <w:t xml:space="preserve">Inscriptions au Budget Primitif 2024 </w:t>
            </w:r>
            <w:r w:rsidR="00080360">
              <w:t>(annuité)</w:t>
            </w:r>
          </w:p>
        </w:tc>
        <w:tc>
          <w:tcPr>
            <w:tcW w:w="4113" w:type="dxa"/>
          </w:tcPr>
          <w:p w:rsidR="00107955" w:rsidRPr="00107955" w:rsidRDefault="0095438C" w:rsidP="0095438C">
            <w:pPr>
              <w:jc w:val="center"/>
            </w:pPr>
            <w:r>
              <w:t>693 303 €</w:t>
            </w:r>
          </w:p>
        </w:tc>
      </w:tr>
      <w:tr w:rsidR="00107955" w:rsidRPr="00107955" w:rsidTr="00107955">
        <w:tc>
          <w:tcPr>
            <w:tcW w:w="4949" w:type="dxa"/>
          </w:tcPr>
          <w:p w:rsidR="00107955" w:rsidRPr="00107955" w:rsidRDefault="00107955" w:rsidP="00F14FBB">
            <w:pPr>
              <w:jc w:val="both"/>
            </w:pPr>
            <w:r w:rsidRPr="00107955">
              <w:t xml:space="preserve">Frais financiers </w:t>
            </w:r>
            <w:r w:rsidR="0095438C">
              <w:t>(intérêts - ICNE)</w:t>
            </w:r>
          </w:p>
        </w:tc>
        <w:tc>
          <w:tcPr>
            <w:tcW w:w="4113" w:type="dxa"/>
          </w:tcPr>
          <w:p w:rsidR="00107955" w:rsidRPr="00107955" w:rsidRDefault="0095438C" w:rsidP="0095438C">
            <w:pPr>
              <w:jc w:val="center"/>
            </w:pPr>
            <w:r>
              <w:t>226 000 €</w:t>
            </w:r>
          </w:p>
        </w:tc>
      </w:tr>
      <w:tr w:rsidR="00107955" w:rsidRPr="00107955" w:rsidTr="00107955">
        <w:tc>
          <w:tcPr>
            <w:tcW w:w="4949" w:type="dxa"/>
          </w:tcPr>
          <w:p w:rsidR="00107955" w:rsidRPr="00107955" w:rsidRDefault="00107955" w:rsidP="00F14FBB">
            <w:pPr>
              <w:jc w:val="both"/>
            </w:pPr>
            <w:r w:rsidRPr="00107955">
              <w:t xml:space="preserve">Remboursement en capital de la dette </w:t>
            </w:r>
          </w:p>
        </w:tc>
        <w:tc>
          <w:tcPr>
            <w:tcW w:w="4113" w:type="dxa"/>
          </w:tcPr>
          <w:p w:rsidR="00107955" w:rsidRPr="00107955" w:rsidRDefault="0095438C" w:rsidP="0095438C">
            <w:pPr>
              <w:jc w:val="center"/>
            </w:pPr>
            <w:r>
              <w:t>467 303 €</w:t>
            </w:r>
          </w:p>
        </w:tc>
      </w:tr>
      <w:tr w:rsidR="00107955" w:rsidRPr="00107955" w:rsidTr="00107955">
        <w:tc>
          <w:tcPr>
            <w:tcW w:w="4949" w:type="dxa"/>
          </w:tcPr>
          <w:p w:rsidR="00107955" w:rsidRPr="00107955" w:rsidRDefault="00107955" w:rsidP="00F14FBB">
            <w:pPr>
              <w:jc w:val="both"/>
            </w:pPr>
            <w:r w:rsidRPr="00107955">
              <w:t xml:space="preserve">Nouveaux emprunts </w:t>
            </w:r>
          </w:p>
        </w:tc>
        <w:tc>
          <w:tcPr>
            <w:tcW w:w="4113" w:type="dxa"/>
          </w:tcPr>
          <w:p w:rsidR="00107955" w:rsidRPr="00107955" w:rsidRDefault="002A0837" w:rsidP="00080360">
            <w:pPr>
              <w:jc w:val="center"/>
            </w:pPr>
            <w:r>
              <w:t>4 035</w:t>
            </w:r>
            <w:r w:rsidR="00FC04FB">
              <w:t xml:space="preserve"> 256</w:t>
            </w:r>
            <w:r w:rsidR="00080360">
              <w:t xml:space="preserve"> €</w:t>
            </w:r>
          </w:p>
        </w:tc>
      </w:tr>
    </w:tbl>
    <w:p w:rsidR="00107955" w:rsidRDefault="00107955" w:rsidP="008D1AC5">
      <w:pPr>
        <w:ind w:firstLine="708"/>
        <w:jc w:val="both"/>
      </w:pPr>
    </w:p>
    <w:p w:rsidR="00FD2FE3" w:rsidRDefault="00FD2FE3" w:rsidP="00FD2FE3">
      <w:pPr>
        <w:jc w:val="both"/>
      </w:pPr>
      <w:r>
        <w:t xml:space="preserve">Le poids de l’emprunt dans le financement de l’investissement en 2024 </w:t>
      </w:r>
      <w:r w:rsidR="006C00C5">
        <w:t xml:space="preserve">représente </w:t>
      </w:r>
      <w:r w:rsidR="002A0837">
        <w:t>un</w:t>
      </w:r>
      <w:r w:rsidR="00B2218D">
        <w:t xml:space="preserve"> tiers</w:t>
      </w:r>
      <w:r>
        <w:t xml:space="preserve"> du besoin d’investissement</w:t>
      </w:r>
      <w:r w:rsidR="00B2218D">
        <w:t xml:space="preserve"> (30</w:t>
      </w:r>
      <w:r w:rsidR="002A0837">
        <w:t>.03</w:t>
      </w:r>
      <w:r w:rsidR="00B2218D">
        <w:t>%).</w:t>
      </w:r>
    </w:p>
    <w:p w:rsidR="00FD2FE3" w:rsidRDefault="00FD2FE3" w:rsidP="008D1AC5">
      <w:pPr>
        <w:ind w:firstLine="360"/>
        <w:jc w:val="both"/>
      </w:pPr>
    </w:p>
    <w:p w:rsidR="00B2218D" w:rsidRDefault="00B2218D" w:rsidP="008D1AC5">
      <w:pPr>
        <w:ind w:firstLine="360"/>
        <w:jc w:val="both"/>
      </w:pPr>
    </w:p>
    <w:p w:rsidR="00B2218D" w:rsidRDefault="00B2218D" w:rsidP="008D1AC5">
      <w:pPr>
        <w:ind w:firstLine="360"/>
        <w:jc w:val="both"/>
      </w:pPr>
    </w:p>
    <w:p w:rsidR="003967D3" w:rsidRPr="00B2218D" w:rsidRDefault="00B2218D" w:rsidP="00B2218D">
      <w:pPr>
        <w:shd w:val="clear" w:color="auto" w:fill="FBE4D5" w:themeFill="accent2" w:themeFillTint="33"/>
        <w:jc w:val="both"/>
        <w:rPr>
          <w:b/>
        </w:rPr>
      </w:pPr>
      <w:r w:rsidRPr="00B2218D">
        <w:rPr>
          <w:b/>
        </w:rPr>
        <w:t>RATIOS BUDGETAIRES DU BUDGET PRINCIPAL</w:t>
      </w:r>
    </w:p>
    <w:tbl>
      <w:tblPr>
        <w:tblW w:w="9072" w:type="dxa"/>
        <w:tblInd w:w="-5" w:type="dxa"/>
        <w:tblCellMar>
          <w:left w:w="70" w:type="dxa"/>
          <w:right w:w="70" w:type="dxa"/>
        </w:tblCellMar>
        <w:tblLook w:val="04A0" w:firstRow="1" w:lastRow="0" w:firstColumn="1" w:lastColumn="0" w:noHBand="0" w:noVBand="1"/>
      </w:tblPr>
      <w:tblGrid>
        <w:gridCol w:w="4962"/>
        <w:gridCol w:w="1559"/>
        <w:gridCol w:w="1276"/>
        <w:gridCol w:w="1275"/>
      </w:tblGrid>
      <w:tr w:rsidR="0076510A" w:rsidRPr="0076510A" w:rsidTr="0076510A">
        <w:trPr>
          <w:trHeight w:val="1110"/>
        </w:trPr>
        <w:tc>
          <w:tcPr>
            <w:tcW w:w="4962" w:type="dxa"/>
            <w:tcBorders>
              <w:top w:val="single" w:sz="8" w:space="0" w:color="000000"/>
              <w:left w:val="single" w:sz="4" w:space="0" w:color="000000"/>
              <w:bottom w:val="single" w:sz="8" w:space="0" w:color="000000"/>
              <w:right w:val="single" w:sz="4" w:space="0" w:color="000000"/>
            </w:tcBorders>
            <w:shd w:val="clear" w:color="000000" w:fill="FFFFFF"/>
            <w:noWrap/>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Ratios</w:t>
            </w:r>
          </w:p>
        </w:tc>
        <w:tc>
          <w:tcPr>
            <w:tcW w:w="1559" w:type="dxa"/>
            <w:tcBorders>
              <w:top w:val="single" w:sz="8" w:space="0" w:color="000000"/>
              <w:left w:val="single" w:sz="4" w:space="0" w:color="000000"/>
              <w:bottom w:val="single" w:sz="8" w:space="0" w:color="000000"/>
              <w:right w:val="nil"/>
            </w:tcBorders>
            <w:shd w:val="clear" w:color="000000" w:fill="F8CBAD"/>
            <w:hideMark/>
          </w:tcPr>
          <w:p w:rsidR="0076510A" w:rsidRDefault="0076510A" w:rsidP="0076510A">
            <w:pPr>
              <w:spacing w:after="0" w:line="240" w:lineRule="auto"/>
              <w:jc w:val="right"/>
              <w:rPr>
                <w:rFonts w:ascii="Arial" w:eastAsia="Times New Roman" w:hAnsi="Arial" w:cs="Arial"/>
                <w:sz w:val="20"/>
                <w:szCs w:val="20"/>
                <w:lang w:eastAsia="fr-FR"/>
              </w:rPr>
            </w:pPr>
          </w:p>
          <w:p w:rsidR="0076510A" w:rsidRPr="0076510A" w:rsidRDefault="0076510A" w:rsidP="0076510A">
            <w:pPr>
              <w:spacing w:after="0" w:line="240" w:lineRule="auto"/>
              <w:jc w:val="right"/>
              <w:rPr>
                <w:rFonts w:ascii="Arial" w:eastAsia="Times New Roman" w:hAnsi="Arial" w:cs="Arial"/>
                <w:sz w:val="20"/>
                <w:szCs w:val="20"/>
                <w:lang w:eastAsia="fr-FR"/>
              </w:rPr>
            </w:pPr>
            <w:r w:rsidRPr="0076510A">
              <w:rPr>
                <w:rFonts w:ascii="Arial" w:eastAsia="Times New Roman" w:hAnsi="Arial" w:cs="Arial"/>
                <w:sz w:val="20"/>
                <w:szCs w:val="20"/>
                <w:lang w:eastAsia="fr-FR"/>
              </w:rPr>
              <w:t>Ratio 2024 Pays d'Iroise Communauté</w:t>
            </w:r>
          </w:p>
        </w:tc>
        <w:tc>
          <w:tcPr>
            <w:tcW w:w="1276"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 xml:space="preserve">Ratios EPCI 2022 (strate 50 à 100 000 </w:t>
            </w:r>
            <w:proofErr w:type="spellStart"/>
            <w:r w:rsidRPr="0076510A">
              <w:rPr>
                <w:rFonts w:ascii="Arial" w:eastAsia="Times New Roman" w:hAnsi="Arial" w:cs="Arial"/>
                <w:sz w:val="20"/>
                <w:szCs w:val="20"/>
                <w:lang w:eastAsia="fr-FR"/>
              </w:rPr>
              <w:t>hab</w:t>
            </w:r>
            <w:proofErr w:type="spellEnd"/>
            <w:r w:rsidRPr="0076510A">
              <w:rPr>
                <w:rFonts w:ascii="Arial" w:eastAsia="Times New Roman" w:hAnsi="Arial" w:cs="Arial"/>
                <w:sz w:val="20"/>
                <w:szCs w:val="20"/>
                <w:lang w:eastAsia="fr-FR"/>
              </w:rPr>
              <w:t>)</w:t>
            </w:r>
          </w:p>
        </w:tc>
        <w:tc>
          <w:tcPr>
            <w:tcW w:w="1275" w:type="dxa"/>
            <w:tcBorders>
              <w:top w:val="single" w:sz="4" w:space="0" w:color="auto"/>
              <w:left w:val="nil"/>
              <w:bottom w:val="single" w:sz="4" w:space="0" w:color="auto"/>
              <w:right w:val="single" w:sz="4" w:space="0" w:color="auto"/>
            </w:tcBorders>
            <w:shd w:val="clear" w:color="000000" w:fill="D9E1F2"/>
            <w:vAlign w:val="bottom"/>
            <w:hideMark/>
          </w:tcPr>
          <w:p w:rsidR="0076510A" w:rsidRPr="0076510A" w:rsidRDefault="0076510A" w:rsidP="0076510A">
            <w:pPr>
              <w:spacing w:after="0" w:line="240" w:lineRule="auto"/>
              <w:rPr>
                <w:rFonts w:ascii="Arial" w:eastAsia="Times New Roman" w:hAnsi="Arial" w:cs="Arial"/>
                <w:sz w:val="20"/>
                <w:szCs w:val="20"/>
                <w:lang w:eastAsia="fr-FR"/>
              </w:rPr>
            </w:pPr>
            <w:proofErr w:type="gramStart"/>
            <w:r w:rsidRPr="0076510A">
              <w:rPr>
                <w:rFonts w:ascii="Arial" w:eastAsia="Times New Roman" w:hAnsi="Arial" w:cs="Arial"/>
                <w:sz w:val="20"/>
                <w:szCs w:val="20"/>
                <w:lang w:eastAsia="fr-FR"/>
              </w:rPr>
              <w:t>ratios</w:t>
            </w:r>
            <w:proofErr w:type="gramEnd"/>
            <w:r w:rsidRPr="0076510A">
              <w:rPr>
                <w:rFonts w:ascii="Arial" w:eastAsia="Times New Roman" w:hAnsi="Arial" w:cs="Arial"/>
                <w:sz w:val="20"/>
                <w:szCs w:val="20"/>
                <w:lang w:eastAsia="fr-FR"/>
              </w:rPr>
              <w:t xml:space="preserve"> EPCI 2022 (strate 30 à 50 000 </w:t>
            </w:r>
            <w:proofErr w:type="spellStart"/>
            <w:r w:rsidRPr="0076510A">
              <w:rPr>
                <w:rFonts w:ascii="Arial" w:eastAsia="Times New Roman" w:hAnsi="Arial" w:cs="Arial"/>
                <w:sz w:val="20"/>
                <w:szCs w:val="20"/>
                <w:lang w:eastAsia="fr-FR"/>
              </w:rPr>
              <w:t>hab</w:t>
            </w:r>
            <w:proofErr w:type="spellEnd"/>
            <w:r w:rsidRPr="0076510A">
              <w:rPr>
                <w:rFonts w:ascii="Arial" w:eastAsia="Times New Roman" w:hAnsi="Arial" w:cs="Arial"/>
                <w:sz w:val="20"/>
                <w:szCs w:val="20"/>
                <w:lang w:eastAsia="fr-FR"/>
              </w:rPr>
              <w:t>)</w:t>
            </w:r>
          </w:p>
        </w:tc>
      </w:tr>
      <w:tr w:rsidR="0076510A" w:rsidRPr="0076510A" w:rsidTr="0076510A">
        <w:trPr>
          <w:trHeight w:val="450"/>
        </w:trPr>
        <w:tc>
          <w:tcPr>
            <w:tcW w:w="4962" w:type="dxa"/>
            <w:tcBorders>
              <w:top w:val="single" w:sz="4" w:space="0" w:color="000000"/>
              <w:left w:val="single" w:sz="4" w:space="0" w:color="000000"/>
              <w:bottom w:val="single" w:sz="4" w:space="0" w:color="000000"/>
              <w:right w:val="single" w:sz="4" w:space="0" w:color="000000"/>
            </w:tcBorders>
            <w:shd w:val="clear" w:color="000000" w:fill="F0F0EF"/>
            <w:noWrap/>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Dépenses réelles de fonctionnement (D.R.F)</w:t>
            </w:r>
          </w:p>
        </w:tc>
        <w:tc>
          <w:tcPr>
            <w:tcW w:w="1559" w:type="dxa"/>
            <w:tcBorders>
              <w:top w:val="single" w:sz="4" w:space="0" w:color="000000"/>
              <w:left w:val="single" w:sz="4" w:space="0" w:color="000000"/>
              <w:bottom w:val="single" w:sz="4" w:space="0" w:color="000000"/>
              <w:right w:val="nil"/>
            </w:tcBorders>
            <w:shd w:val="clear" w:color="000000" w:fill="F8CBAD"/>
            <w:noWrap/>
            <w:hideMark/>
          </w:tcPr>
          <w:p w:rsidR="0076510A" w:rsidRPr="0076510A" w:rsidRDefault="0076510A" w:rsidP="0076510A">
            <w:pPr>
              <w:spacing w:after="0" w:line="240" w:lineRule="auto"/>
              <w:jc w:val="right"/>
              <w:rPr>
                <w:rFonts w:ascii="Arial" w:eastAsia="Times New Roman" w:hAnsi="Arial" w:cs="Arial"/>
                <w:sz w:val="20"/>
                <w:szCs w:val="20"/>
                <w:lang w:eastAsia="fr-FR"/>
              </w:rPr>
            </w:pPr>
            <w:r w:rsidRPr="0076510A">
              <w:rPr>
                <w:rFonts w:ascii="Arial" w:eastAsia="Times New Roman" w:hAnsi="Arial" w:cs="Arial"/>
                <w:sz w:val="20"/>
                <w:szCs w:val="20"/>
                <w:lang w:eastAsia="fr-FR"/>
              </w:rPr>
              <w:t>17 860 208,00</w:t>
            </w:r>
          </w:p>
        </w:tc>
        <w:tc>
          <w:tcPr>
            <w:tcW w:w="1276" w:type="dxa"/>
            <w:tcBorders>
              <w:top w:val="nil"/>
              <w:left w:val="single" w:sz="4" w:space="0" w:color="auto"/>
              <w:bottom w:val="single" w:sz="4" w:space="0" w:color="auto"/>
              <w:right w:val="single" w:sz="4" w:space="0" w:color="auto"/>
            </w:tcBorders>
            <w:shd w:val="clear" w:color="000000" w:fill="FFF2CC"/>
            <w:noWrap/>
            <w:vAlign w:val="bottom"/>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 </w:t>
            </w:r>
          </w:p>
        </w:tc>
        <w:tc>
          <w:tcPr>
            <w:tcW w:w="1275" w:type="dxa"/>
            <w:tcBorders>
              <w:top w:val="nil"/>
              <w:left w:val="nil"/>
              <w:bottom w:val="single" w:sz="4" w:space="0" w:color="auto"/>
              <w:right w:val="single" w:sz="4" w:space="0" w:color="auto"/>
            </w:tcBorders>
            <w:shd w:val="clear" w:color="000000" w:fill="D9E1F2"/>
            <w:noWrap/>
            <w:vAlign w:val="bottom"/>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 </w:t>
            </w:r>
          </w:p>
        </w:tc>
      </w:tr>
      <w:tr w:rsidR="0076510A" w:rsidRPr="0076510A" w:rsidTr="0076510A">
        <w:trPr>
          <w:trHeight w:val="450"/>
        </w:trPr>
        <w:tc>
          <w:tcPr>
            <w:tcW w:w="4962" w:type="dxa"/>
            <w:tcBorders>
              <w:top w:val="nil"/>
              <w:left w:val="single" w:sz="4" w:space="0" w:color="000000"/>
              <w:bottom w:val="single" w:sz="4" w:space="0" w:color="000000"/>
              <w:right w:val="single" w:sz="4" w:space="0" w:color="000000"/>
            </w:tcBorders>
            <w:shd w:val="clear" w:color="000000" w:fill="FFFFFF"/>
            <w:noWrap/>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Recettes réelles de fonctionnement (R.R.F)</w:t>
            </w:r>
          </w:p>
        </w:tc>
        <w:tc>
          <w:tcPr>
            <w:tcW w:w="1559" w:type="dxa"/>
            <w:tcBorders>
              <w:top w:val="nil"/>
              <w:left w:val="single" w:sz="4" w:space="0" w:color="000000"/>
              <w:bottom w:val="single" w:sz="4" w:space="0" w:color="000000"/>
              <w:right w:val="nil"/>
            </w:tcBorders>
            <w:shd w:val="clear" w:color="000000" w:fill="F8CBAD"/>
            <w:noWrap/>
            <w:hideMark/>
          </w:tcPr>
          <w:p w:rsidR="0076510A" w:rsidRPr="0076510A" w:rsidRDefault="0076510A" w:rsidP="0076510A">
            <w:pPr>
              <w:spacing w:after="0" w:line="240" w:lineRule="auto"/>
              <w:jc w:val="right"/>
              <w:rPr>
                <w:rFonts w:ascii="Arial" w:eastAsia="Times New Roman" w:hAnsi="Arial" w:cs="Arial"/>
                <w:sz w:val="20"/>
                <w:szCs w:val="20"/>
                <w:lang w:eastAsia="fr-FR"/>
              </w:rPr>
            </w:pPr>
            <w:r w:rsidRPr="0076510A">
              <w:rPr>
                <w:rFonts w:ascii="Arial" w:eastAsia="Times New Roman" w:hAnsi="Arial" w:cs="Arial"/>
                <w:sz w:val="20"/>
                <w:szCs w:val="20"/>
                <w:lang w:eastAsia="fr-FR"/>
              </w:rPr>
              <w:t>20 728 664,00</w:t>
            </w:r>
          </w:p>
        </w:tc>
        <w:tc>
          <w:tcPr>
            <w:tcW w:w="1276" w:type="dxa"/>
            <w:tcBorders>
              <w:top w:val="nil"/>
              <w:left w:val="single" w:sz="4" w:space="0" w:color="auto"/>
              <w:bottom w:val="single" w:sz="4" w:space="0" w:color="auto"/>
              <w:right w:val="single" w:sz="4" w:space="0" w:color="auto"/>
            </w:tcBorders>
            <w:shd w:val="clear" w:color="000000" w:fill="FFF2CC"/>
            <w:noWrap/>
            <w:vAlign w:val="bottom"/>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 </w:t>
            </w:r>
          </w:p>
        </w:tc>
        <w:tc>
          <w:tcPr>
            <w:tcW w:w="1275" w:type="dxa"/>
            <w:tcBorders>
              <w:top w:val="nil"/>
              <w:left w:val="nil"/>
              <w:bottom w:val="single" w:sz="4" w:space="0" w:color="auto"/>
              <w:right w:val="single" w:sz="4" w:space="0" w:color="auto"/>
            </w:tcBorders>
            <w:shd w:val="clear" w:color="000000" w:fill="D9E1F2"/>
            <w:noWrap/>
            <w:vAlign w:val="bottom"/>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 </w:t>
            </w:r>
          </w:p>
        </w:tc>
      </w:tr>
      <w:tr w:rsidR="0076510A" w:rsidRPr="0076510A" w:rsidTr="0076510A">
        <w:trPr>
          <w:trHeight w:val="450"/>
        </w:trPr>
        <w:tc>
          <w:tcPr>
            <w:tcW w:w="4962" w:type="dxa"/>
            <w:tcBorders>
              <w:top w:val="nil"/>
              <w:left w:val="single" w:sz="4" w:space="0" w:color="000000"/>
              <w:bottom w:val="single" w:sz="4" w:space="0" w:color="000000"/>
              <w:right w:val="single" w:sz="4" w:space="0" w:color="000000"/>
            </w:tcBorders>
            <w:shd w:val="clear" w:color="000000" w:fill="F0F0EF"/>
            <w:noWrap/>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Ratio n°1 (Dépenses réelles de fonctionnement/Population INSEE)</w:t>
            </w:r>
          </w:p>
        </w:tc>
        <w:tc>
          <w:tcPr>
            <w:tcW w:w="1559" w:type="dxa"/>
            <w:tcBorders>
              <w:top w:val="nil"/>
              <w:left w:val="single" w:sz="4" w:space="0" w:color="000000"/>
              <w:bottom w:val="single" w:sz="4" w:space="0" w:color="000000"/>
              <w:right w:val="nil"/>
            </w:tcBorders>
            <w:shd w:val="clear" w:color="000000" w:fill="F8CBAD"/>
            <w:noWrap/>
            <w:hideMark/>
          </w:tcPr>
          <w:p w:rsidR="0076510A" w:rsidRPr="0076510A" w:rsidRDefault="0076510A" w:rsidP="0076510A">
            <w:pPr>
              <w:spacing w:after="0" w:line="240" w:lineRule="auto"/>
              <w:jc w:val="right"/>
              <w:rPr>
                <w:rFonts w:ascii="Arial" w:eastAsia="Times New Roman" w:hAnsi="Arial" w:cs="Arial"/>
                <w:sz w:val="20"/>
                <w:szCs w:val="20"/>
                <w:lang w:eastAsia="fr-FR"/>
              </w:rPr>
            </w:pPr>
            <w:r w:rsidRPr="0076510A">
              <w:rPr>
                <w:rFonts w:ascii="Arial" w:eastAsia="Times New Roman" w:hAnsi="Arial" w:cs="Arial"/>
                <w:sz w:val="20"/>
                <w:szCs w:val="20"/>
                <w:lang w:eastAsia="fr-FR"/>
              </w:rPr>
              <w:t>355,88</w:t>
            </w:r>
          </w:p>
        </w:tc>
        <w:tc>
          <w:tcPr>
            <w:tcW w:w="1276" w:type="dxa"/>
            <w:tcBorders>
              <w:top w:val="nil"/>
              <w:left w:val="single" w:sz="4" w:space="0" w:color="auto"/>
              <w:bottom w:val="single" w:sz="4" w:space="0" w:color="auto"/>
              <w:right w:val="single" w:sz="4" w:space="0" w:color="auto"/>
            </w:tcBorders>
            <w:shd w:val="clear" w:color="000000" w:fill="FFF2CC"/>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403</w:t>
            </w:r>
          </w:p>
        </w:tc>
        <w:tc>
          <w:tcPr>
            <w:tcW w:w="1275" w:type="dxa"/>
            <w:tcBorders>
              <w:top w:val="nil"/>
              <w:left w:val="nil"/>
              <w:bottom w:val="single" w:sz="4" w:space="0" w:color="auto"/>
              <w:right w:val="single" w:sz="4" w:space="0" w:color="auto"/>
            </w:tcBorders>
            <w:shd w:val="clear" w:color="000000" w:fill="D9E1F2"/>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347</w:t>
            </w:r>
          </w:p>
        </w:tc>
      </w:tr>
      <w:tr w:rsidR="0076510A" w:rsidRPr="0076510A" w:rsidTr="0076510A">
        <w:trPr>
          <w:trHeight w:val="450"/>
        </w:trPr>
        <w:tc>
          <w:tcPr>
            <w:tcW w:w="4962" w:type="dxa"/>
            <w:tcBorders>
              <w:top w:val="nil"/>
              <w:left w:val="single" w:sz="4" w:space="0" w:color="000000"/>
              <w:bottom w:val="single" w:sz="4" w:space="0" w:color="000000"/>
              <w:right w:val="single" w:sz="4" w:space="0" w:color="000000"/>
            </w:tcBorders>
            <w:shd w:val="clear" w:color="000000" w:fill="FFFFFF"/>
            <w:noWrap/>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Ratio n°2 (Recettes réelles de fonctionnement/Population INSEE)</w:t>
            </w:r>
          </w:p>
        </w:tc>
        <w:tc>
          <w:tcPr>
            <w:tcW w:w="1559" w:type="dxa"/>
            <w:tcBorders>
              <w:top w:val="nil"/>
              <w:left w:val="single" w:sz="4" w:space="0" w:color="000000"/>
              <w:bottom w:val="single" w:sz="4" w:space="0" w:color="000000"/>
              <w:right w:val="nil"/>
            </w:tcBorders>
            <w:shd w:val="clear" w:color="000000" w:fill="F8CBAD"/>
            <w:noWrap/>
            <w:hideMark/>
          </w:tcPr>
          <w:p w:rsidR="0076510A" w:rsidRPr="0076510A" w:rsidRDefault="0076510A" w:rsidP="0076510A">
            <w:pPr>
              <w:spacing w:after="0" w:line="240" w:lineRule="auto"/>
              <w:jc w:val="right"/>
              <w:rPr>
                <w:rFonts w:ascii="Arial" w:eastAsia="Times New Roman" w:hAnsi="Arial" w:cs="Arial"/>
                <w:sz w:val="20"/>
                <w:szCs w:val="20"/>
                <w:lang w:eastAsia="fr-FR"/>
              </w:rPr>
            </w:pPr>
            <w:r w:rsidRPr="0076510A">
              <w:rPr>
                <w:rFonts w:ascii="Arial" w:eastAsia="Times New Roman" w:hAnsi="Arial" w:cs="Arial"/>
                <w:sz w:val="20"/>
                <w:szCs w:val="20"/>
                <w:lang w:eastAsia="fr-FR"/>
              </w:rPr>
              <w:t>413,04</w:t>
            </w:r>
          </w:p>
        </w:tc>
        <w:tc>
          <w:tcPr>
            <w:tcW w:w="1276" w:type="dxa"/>
            <w:tcBorders>
              <w:top w:val="nil"/>
              <w:left w:val="single" w:sz="4" w:space="0" w:color="auto"/>
              <w:bottom w:val="single" w:sz="4" w:space="0" w:color="auto"/>
              <w:right w:val="single" w:sz="4" w:space="0" w:color="auto"/>
            </w:tcBorders>
            <w:shd w:val="clear" w:color="000000" w:fill="FFF2CC"/>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494</w:t>
            </w:r>
          </w:p>
        </w:tc>
        <w:tc>
          <w:tcPr>
            <w:tcW w:w="1275" w:type="dxa"/>
            <w:tcBorders>
              <w:top w:val="nil"/>
              <w:left w:val="nil"/>
              <w:bottom w:val="single" w:sz="4" w:space="0" w:color="auto"/>
              <w:right w:val="single" w:sz="4" w:space="0" w:color="auto"/>
            </w:tcBorders>
            <w:shd w:val="clear" w:color="000000" w:fill="D9E1F2"/>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415</w:t>
            </w:r>
          </w:p>
        </w:tc>
      </w:tr>
      <w:tr w:rsidR="0076510A" w:rsidRPr="0076510A" w:rsidTr="0076510A">
        <w:trPr>
          <w:trHeight w:val="450"/>
        </w:trPr>
        <w:tc>
          <w:tcPr>
            <w:tcW w:w="4962" w:type="dxa"/>
            <w:tcBorders>
              <w:top w:val="nil"/>
              <w:left w:val="single" w:sz="4" w:space="0" w:color="000000"/>
              <w:bottom w:val="single" w:sz="4" w:space="0" w:color="000000"/>
              <w:right w:val="single" w:sz="4" w:space="0" w:color="000000"/>
            </w:tcBorders>
            <w:shd w:val="clear" w:color="000000" w:fill="F0F0EF"/>
            <w:noWrap/>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 xml:space="preserve">Ratio n°3 (Dépenses d'équipement brut/Population </w:t>
            </w:r>
            <w:proofErr w:type="spellStart"/>
            <w:r w:rsidRPr="0076510A">
              <w:rPr>
                <w:rFonts w:ascii="Arial" w:eastAsia="Times New Roman" w:hAnsi="Arial" w:cs="Arial"/>
                <w:sz w:val="20"/>
                <w:szCs w:val="20"/>
                <w:lang w:eastAsia="fr-FR"/>
              </w:rPr>
              <w:t>iNSEE</w:t>
            </w:r>
            <w:proofErr w:type="spellEnd"/>
            <w:r w:rsidRPr="0076510A">
              <w:rPr>
                <w:rFonts w:ascii="Arial" w:eastAsia="Times New Roman" w:hAnsi="Arial" w:cs="Arial"/>
                <w:sz w:val="20"/>
                <w:szCs w:val="20"/>
                <w:lang w:eastAsia="fr-FR"/>
              </w:rPr>
              <w:t>)</w:t>
            </w:r>
          </w:p>
        </w:tc>
        <w:tc>
          <w:tcPr>
            <w:tcW w:w="1559" w:type="dxa"/>
            <w:tcBorders>
              <w:top w:val="nil"/>
              <w:left w:val="single" w:sz="4" w:space="0" w:color="000000"/>
              <w:bottom w:val="single" w:sz="4" w:space="0" w:color="000000"/>
              <w:right w:val="nil"/>
            </w:tcBorders>
            <w:shd w:val="clear" w:color="000000" w:fill="F8CBAD"/>
            <w:noWrap/>
            <w:hideMark/>
          </w:tcPr>
          <w:p w:rsidR="0076510A" w:rsidRPr="0076510A" w:rsidRDefault="0076510A" w:rsidP="0076510A">
            <w:pPr>
              <w:spacing w:after="0" w:line="240" w:lineRule="auto"/>
              <w:jc w:val="right"/>
              <w:rPr>
                <w:rFonts w:ascii="Arial" w:eastAsia="Times New Roman" w:hAnsi="Arial" w:cs="Arial"/>
                <w:sz w:val="20"/>
                <w:szCs w:val="20"/>
                <w:lang w:eastAsia="fr-FR"/>
              </w:rPr>
            </w:pPr>
            <w:r w:rsidRPr="0076510A">
              <w:rPr>
                <w:rFonts w:ascii="Arial" w:eastAsia="Times New Roman" w:hAnsi="Arial" w:cs="Arial"/>
                <w:sz w:val="20"/>
                <w:szCs w:val="20"/>
                <w:lang w:eastAsia="fr-FR"/>
              </w:rPr>
              <w:t>201,90</w:t>
            </w:r>
          </w:p>
        </w:tc>
        <w:tc>
          <w:tcPr>
            <w:tcW w:w="1276" w:type="dxa"/>
            <w:tcBorders>
              <w:top w:val="nil"/>
              <w:left w:val="single" w:sz="4" w:space="0" w:color="auto"/>
              <w:bottom w:val="single" w:sz="4" w:space="0" w:color="auto"/>
              <w:right w:val="single" w:sz="4" w:space="0" w:color="auto"/>
            </w:tcBorders>
            <w:shd w:val="clear" w:color="000000" w:fill="FFF2CC"/>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91</w:t>
            </w:r>
          </w:p>
        </w:tc>
        <w:tc>
          <w:tcPr>
            <w:tcW w:w="1275" w:type="dxa"/>
            <w:tcBorders>
              <w:top w:val="nil"/>
              <w:left w:val="nil"/>
              <w:bottom w:val="single" w:sz="4" w:space="0" w:color="auto"/>
              <w:right w:val="single" w:sz="4" w:space="0" w:color="auto"/>
            </w:tcBorders>
            <w:shd w:val="clear" w:color="000000" w:fill="D9E1F2"/>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83</w:t>
            </w:r>
          </w:p>
        </w:tc>
      </w:tr>
      <w:tr w:rsidR="0076510A" w:rsidRPr="0076510A" w:rsidTr="0076510A">
        <w:trPr>
          <w:trHeight w:val="450"/>
        </w:trPr>
        <w:tc>
          <w:tcPr>
            <w:tcW w:w="4962" w:type="dxa"/>
            <w:tcBorders>
              <w:top w:val="nil"/>
              <w:left w:val="single" w:sz="4" w:space="0" w:color="000000"/>
              <w:bottom w:val="single" w:sz="4" w:space="0" w:color="000000"/>
              <w:right w:val="single" w:sz="4" w:space="0" w:color="000000"/>
            </w:tcBorders>
            <w:shd w:val="clear" w:color="000000" w:fill="FFFFFF"/>
            <w:noWrap/>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Ratio n°4 (Encours de la dette/Population INSEE)</w:t>
            </w:r>
          </w:p>
        </w:tc>
        <w:tc>
          <w:tcPr>
            <w:tcW w:w="1559" w:type="dxa"/>
            <w:tcBorders>
              <w:top w:val="nil"/>
              <w:left w:val="single" w:sz="4" w:space="0" w:color="000000"/>
              <w:bottom w:val="single" w:sz="4" w:space="0" w:color="000000"/>
              <w:right w:val="nil"/>
            </w:tcBorders>
            <w:shd w:val="clear" w:color="000000" w:fill="F8CBAD"/>
            <w:noWrap/>
            <w:hideMark/>
          </w:tcPr>
          <w:p w:rsidR="0076510A" w:rsidRPr="0076510A" w:rsidRDefault="0076510A" w:rsidP="0076510A">
            <w:pPr>
              <w:spacing w:after="0" w:line="240" w:lineRule="auto"/>
              <w:jc w:val="right"/>
              <w:rPr>
                <w:rFonts w:ascii="Arial" w:eastAsia="Times New Roman" w:hAnsi="Arial" w:cs="Arial"/>
                <w:sz w:val="20"/>
                <w:szCs w:val="20"/>
                <w:lang w:eastAsia="fr-FR"/>
              </w:rPr>
            </w:pPr>
            <w:r w:rsidRPr="0076510A">
              <w:rPr>
                <w:rFonts w:ascii="Arial" w:eastAsia="Times New Roman" w:hAnsi="Arial" w:cs="Arial"/>
                <w:sz w:val="20"/>
                <w:szCs w:val="20"/>
                <w:lang w:eastAsia="fr-FR"/>
              </w:rPr>
              <w:t>120,78</w:t>
            </w:r>
          </w:p>
        </w:tc>
        <w:tc>
          <w:tcPr>
            <w:tcW w:w="1276" w:type="dxa"/>
            <w:tcBorders>
              <w:top w:val="nil"/>
              <w:left w:val="single" w:sz="4" w:space="0" w:color="auto"/>
              <w:bottom w:val="single" w:sz="4" w:space="0" w:color="auto"/>
              <w:right w:val="single" w:sz="4" w:space="0" w:color="auto"/>
            </w:tcBorders>
            <w:shd w:val="clear" w:color="000000" w:fill="FFF2CC"/>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265</w:t>
            </w:r>
          </w:p>
        </w:tc>
        <w:tc>
          <w:tcPr>
            <w:tcW w:w="1275" w:type="dxa"/>
            <w:tcBorders>
              <w:top w:val="nil"/>
              <w:left w:val="nil"/>
              <w:bottom w:val="single" w:sz="4" w:space="0" w:color="auto"/>
              <w:right w:val="single" w:sz="4" w:space="0" w:color="auto"/>
            </w:tcBorders>
            <w:shd w:val="clear" w:color="000000" w:fill="D9E1F2"/>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202</w:t>
            </w:r>
          </w:p>
        </w:tc>
      </w:tr>
      <w:tr w:rsidR="0076510A" w:rsidRPr="0076510A" w:rsidTr="0076510A">
        <w:trPr>
          <w:trHeight w:val="450"/>
        </w:trPr>
        <w:tc>
          <w:tcPr>
            <w:tcW w:w="4962" w:type="dxa"/>
            <w:tcBorders>
              <w:top w:val="nil"/>
              <w:left w:val="single" w:sz="4" w:space="0" w:color="000000"/>
              <w:bottom w:val="single" w:sz="4" w:space="0" w:color="000000"/>
              <w:right w:val="single" w:sz="4" w:space="0" w:color="000000"/>
            </w:tcBorders>
            <w:shd w:val="clear" w:color="000000" w:fill="F0F0EF"/>
            <w:noWrap/>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Ratio n°5 (D.G.F./Population INSEE)</w:t>
            </w:r>
          </w:p>
        </w:tc>
        <w:tc>
          <w:tcPr>
            <w:tcW w:w="1559" w:type="dxa"/>
            <w:tcBorders>
              <w:top w:val="nil"/>
              <w:left w:val="single" w:sz="4" w:space="0" w:color="000000"/>
              <w:bottom w:val="single" w:sz="4" w:space="0" w:color="000000"/>
              <w:right w:val="nil"/>
            </w:tcBorders>
            <w:shd w:val="clear" w:color="000000" w:fill="F8CBAD"/>
            <w:noWrap/>
            <w:hideMark/>
          </w:tcPr>
          <w:p w:rsidR="0076510A" w:rsidRPr="0076510A" w:rsidRDefault="0076510A" w:rsidP="0076510A">
            <w:pPr>
              <w:spacing w:after="0" w:line="240" w:lineRule="auto"/>
              <w:jc w:val="right"/>
              <w:rPr>
                <w:rFonts w:ascii="Arial" w:eastAsia="Times New Roman" w:hAnsi="Arial" w:cs="Arial"/>
                <w:sz w:val="20"/>
                <w:szCs w:val="20"/>
                <w:lang w:eastAsia="fr-FR"/>
              </w:rPr>
            </w:pPr>
            <w:r w:rsidRPr="0076510A">
              <w:rPr>
                <w:rFonts w:ascii="Arial" w:eastAsia="Times New Roman" w:hAnsi="Arial" w:cs="Arial"/>
                <w:sz w:val="20"/>
                <w:szCs w:val="20"/>
                <w:lang w:eastAsia="fr-FR"/>
              </w:rPr>
              <w:t>45,17</w:t>
            </w:r>
          </w:p>
        </w:tc>
        <w:tc>
          <w:tcPr>
            <w:tcW w:w="1276" w:type="dxa"/>
            <w:tcBorders>
              <w:top w:val="nil"/>
              <w:left w:val="single" w:sz="4" w:space="0" w:color="auto"/>
              <w:bottom w:val="single" w:sz="4" w:space="0" w:color="auto"/>
              <w:right w:val="single" w:sz="4" w:space="0" w:color="auto"/>
            </w:tcBorders>
            <w:shd w:val="clear" w:color="000000" w:fill="FFF2CC"/>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72</w:t>
            </w:r>
          </w:p>
        </w:tc>
        <w:tc>
          <w:tcPr>
            <w:tcW w:w="1275" w:type="dxa"/>
            <w:tcBorders>
              <w:top w:val="nil"/>
              <w:left w:val="nil"/>
              <w:bottom w:val="single" w:sz="4" w:space="0" w:color="auto"/>
              <w:right w:val="single" w:sz="4" w:space="0" w:color="auto"/>
            </w:tcBorders>
            <w:shd w:val="clear" w:color="000000" w:fill="D9E1F2"/>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52</w:t>
            </w:r>
          </w:p>
        </w:tc>
      </w:tr>
      <w:tr w:rsidR="0076510A" w:rsidRPr="0076510A" w:rsidTr="0076510A">
        <w:trPr>
          <w:trHeight w:val="450"/>
        </w:trPr>
        <w:tc>
          <w:tcPr>
            <w:tcW w:w="4962" w:type="dxa"/>
            <w:tcBorders>
              <w:top w:val="nil"/>
              <w:left w:val="single" w:sz="4" w:space="0" w:color="000000"/>
              <w:bottom w:val="single" w:sz="4" w:space="0" w:color="000000"/>
              <w:right w:val="single" w:sz="4" w:space="0" w:color="000000"/>
            </w:tcBorders>
            <w:shd w:val="clear" w:color="000000" w:fill="FFFFFF"/>
            <w:noWrap/>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Ratio n°6 (Dépenses de personnel /D.</w:t>
            </w:r>
            <w:proofErr w:type="gramStart"/>
            <w:r w:rsidRPr="0076510A">
              <w:rPr>
                <w:rFonts w:ascii="Arial" w:eastAsia="Times New Roman" w:hAnsi="Arial" w:cs="Arial"/>
                <w:sz w:val="20"/>
                <w:szCs w:val="20"/>
                <w:lang w:eastAsia="fr-FR"/>
              </w:rPr>
              <w:t>R.F</w:t>
            </w:r>
            <w:proofErr w:type="gramEnd"/>
            <w:r w:rsidRPr="0076510A">
              <w:rPr>
                <w:rFonts w:ascii="Arial" w:eastAsia="Times New Roman" w:hAnsi="Arial" w:cs="Arial"/>
                <w:sz w:val="20"/>
                <w:szCs w:val="20"/>
                <w:lang w:eastAsia="fr-FR"/>
              </w:rPr>
              <w:t>)</w:t>
            </w:r>
          </w:p>
        </w:tc>
        <w:tc>
          <w:tcPr>
            <w:tcW w:w="1559" w:type="dxa"/>
            <w:tcBorders>
              <w:top w:val="nil"/>
              <w:left w:val="single" w:sz="4" w:space="0" w:color="000000"/>
              <w:bottom w:val="single" w:sz="4" w:space="0" w:color="000000"/>
              <w:right w:val="nil"/>
            </w:tcBorders>
            <w:shd w:val="clear" w:color="000000" w:fill="F8CBAD"/>
            <w:noWrap/>
            <w:hideMark/>
          </w:tcPr>
          <w:p w:rsidR="0076510A" w:rsidRPr="0076510A" w:rsidRDefault="0076510A" w:rsidP="0076510A">
            <w:pPr>
              <w:spacing w:after="0" w:line="240" w:lineRule="auto"/>
              <w:jc w:val="right"/>
              <w:rPr>
                <w:rFonts w:ascii="Arial" w:eastAsia="Times New Roman" w:hAnsi="Arial" w:cs="Arial"/>
                <w:sz w:val="20"/>
                <w:szCs w:val="20"/>
                <w:lang w:eastAsia="fr-FR"/>
              </w:rPr>
            </w:pPr>
            <w:r w:rsidRPr="0076510A">
              <w:rPr>
                <w:rFonts w:ascii="Arial" w:eastAsia="Times New Roman" w:hAnsi="Arial" w:cs="Arial"/>
                <w:sz w:val="20"/>
                <w:szCs w:val="20"/>
                <w:lang w:eastAsia="fr-FR"/>
              </w:rPr>
              <w:t>36,53</w:t>
            </w:r>
          </w:p>
        </w:tc>
        <w:tc>
          <w:tcPr>
            <w:tcW w:w="1276" w:type="dxa"/>
            <w:tcBorders>
              <w:top w:val="nil"/>
              <w:left w:val="single" w:sz="4" w:space="0" w:color="auto"/>
              <w:bottom w:val="single" w:sz="4" w:space="0" w:color="auto"/>
              <w:right w:val="single" w:sz="4" w:space="0" w:color="auto"/>
            </w:tcBorders>
            <w:shd w:val="clear" w:color="000000" w:fill="FFF2CC"/>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40,2</w:t>
            </w:r>
          </w:p>
        </w:tc>
        <w:tc>
          <w:tcPr>
            <w:tcW w:w="1275" w:type="dxa"/>
            <w:tcBorders>
              <w:top w:val="nil"/>
              <w:left w:val="nil"/>
              <w:bottom w:val="single" w:sz="4" w:space="0" w:color="auto"/>
              <w:right w:val="single" w:sz="4" w:space="0" w:color="auto"/>
            </w:tcBorders>
            <w:shd w:val="clear" w:color="000000" w:fill="D9E1F2"/>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43,7</w:t>
            </w:r>
          </w:p>
        </w:tc>
      </w:tr>
      <w:tr w:rsidR="0076510A" w:rsidRPr="0076510A" w:rsidTr="0076510A">
        <w:trPr>
          <w:trHeight w:val="450"/>
        </w:trPr>
        <w:tc>
          <w:tcPr>
            <w:tcW w:w="4962" w:type="dxa"/>
            <w:tcBorders>
              <w:top w:val="nil"/>
              <w:left w:val="single" w:sz="4" w:space="0" w:color="000000"/>
              <w:bottom w:val="single" w:sz="4" w:space="0" w:color="000000"/>
              <w:right w:val="single" w:sz="4" w:space="0" w:color="000000"/>
            </w:tcBorders>
            <w:shd w:val="clear" w:color="000000" w:fill="F0F0EF"/>
            <w:noWrap/>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 xml:space="preserve">Ratio n°7 (D.R.F. + </w:t>
            </w:r>
            <w:proofErr w:type="spellStart"/>
            <w:r w:rsidRPr="0076510A">
              <w:rPr>
                <w:rFonts w:ascii="Arial" w:eastAsia="Times New Roman" w:hAnsi="Arial" w:cs="Arial"/>
                <w:sz w:val="20"/>
                <w:szCs w:val="20"/>
                <w:lang w:eastAsia="fr-FR"/>
              </w:rPr>
              <w:t>Remb</w:t>
            </w:r>
            <w:proofErr w:type="spellEnd"/>
            <w:r w:rsidRPr="0076510A">
              <w:rPr>
                <w:rFonts w:ascii="Arial" w:eastAsia="Times New Roman" w:hAnsi="Arial" w:cs="Arial"/>
                <w:sz w:val="20"/>
                <w:szCs w:val="20"/>
                <w:lang w:eastAsia="fr-FR"/>
              </w:rPr>
              <w:t xml:space="preserve"> de la dette en capital / R.R.F)</w:t>
            </w:r>
          </w:p>
        </w:tc>
        <w:tc>
          <w:tcPr>
            <w:tcW w:w="1559" w:type="dxa"/>
            <w:tcBorders>
              <w:top w:val="nil"/>
              <w:left w:val="single" w:sz="4" w:space="0" w:color="000000"/>
              <w:bottom w:val="single" w:sz="4" w:space="0" w:color="000000"/>
              <w:right w:val="nil"/>
            </w:tcBorders>
            <w:shd w:val="clear" w:color="000000" w:fill="F8CBAD"/>
            <w:noWrap/>
            <w:hideMark/>
          </w:tcPr>
          <w:p w:rsidR="0076510A" w:rsidRPr="0076510A" w:rsidRDefault="0076510A" w:rsidP="0076510A">
            <w:pPr>
              <w:spacing w:after="0" w:line="240" w:lineRule="auto"/>
              <w:jc w:val="right"/>
              <w:rPr>
                <w:rFonts w:ascii="Arial" w:eastAsia="Times New Roman" w:hAnsi="Arial" w:cs="Arial"/>
                <w:sz w:val="20"/>
                <w:szCs w:val="20"/>
                <w:lang w:eastAsia="fr-FR"/>
              </w:rPr>
            </w:pPr>
            <w:r w:rsidRPr="0076510A">
              <w:rPr>
                <w:rFonts w:ascii="Arial" w:eastAsia="Times New Roman" w:hAnsi="Arial" w:cs="Arial"/>
                <w:sz w:val="20"/>
                <w:szCs w:val="20"/>
                <w:lang w:eastAsia="fr-FR"/>
              </w:rPr>
              <w:t>86,16</w:t>
            </w:r>
          </w:p>
        </w:tc>
        <w:tc>
          <w:tcPr>
            <w:tcW w:w="1276" w:type="dxa"/>
            <w:tcBorders>
              <w:top w:val="nil"/>
              <w:left w:val="single" w:sz="4" w:space="0" w:color="auto"/>
              <w:bottom w:val="single" w:sz="4" w:space="0" w:color="auto"/>
              <w:right w:val="single" w:sz="4" w:space="0" w:color="auto"/>
            </w:tcBorders>
            <w:shd w:val="clear" w:color="000000" w:fill="FFF2CC"/>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86,5</w:t>
            </w:r>
          </w:p>
        </w:tc>
        <w:tc>
          <w:tcPr>
            <w:tcW w:w="1275" w:type="dxa"/>
            <w:tcBorders>
              <w:top w:val="nil"/>
              <w:left w:val="nil"/>
              <w:bottom w:val="single" w:sz="4" w:space="0" w:color="auto"/>
              <w:right w:val="single" w:sz="4" w:space="0" w:color="auto"/>
            </w:tcBorders>
            <w:shd w:val="clear" w:color="000000" w:fill="D9E1F2"/>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88,2</w:t>
            </w:r>
          </w:p>
        </w:tc>
      </w:tr>
      <w:tr w:rsidR="0076510A" w:rsidRPr="0076510A" w:rsidTr="0076510A">
        <w:trPr>
          <w:trHeight w:val="450"/>
        </w:trPr>
        <w:tc>
          <w:tcPr>
            <w:tcW w:w="4962" w:type="dxa"/>
            <w:tcBorders>
              <w:top w:val="nil"/>
              <w:left w:val="single" w:sz="4" w:space="0" w:color="000000"/>
              <w:bottom w:val="single" w:sz="4" w:space="0" w:color="000000"/>
              <w:right w:val="single" w:sz="4" w:space="0" w:color="000000"/>
            </w:tcBorders>
            <w:shd w:val="clear" w:color="000000" w:fill="FFFFFF"/>
            <w:noWrap/>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Ratio n°8 (Dépenses d'équipement brut / R.R.F)</w:t>
            </w:r>
          </w:p>
        </w:tc>
        <w:tc>
          <w:tcPr>
            <w:tcW w:w="1559" w:type="dxa"/>
            <w:tcBorders>
              <w:top w:val="nil"/>
              <w:left w:val="single" w:sz="4" w:space="0" w:color="000000"/>
              <w:bottom w:val="single" w:sz="4" w:space="0" w:color="000000"/>
              <w:right w:val="nil"/>
            </w:tcBorders>
            <w:shd w:val="clear" w:color="000000" w:fill="F8CBAD"/>
            <w:noWrap/>
            <w:hideMark/>
          </w:tcPr>
          <w:p w:rsidR="0076510A" w:rsidRPr="0076510A" w:rsidRDefault="0076510A" w:rsidP="0076510A">
            <w:pPr>
              <w:spacing w:after="0" w:line="240" w:lineRule="auto"/>
              <w:jc w:val="right"/>
              <w:rPr>
                <w:rFonts w:ascii="Arial" w:eastAsia="Times New Roman" w:hAnsi="Arial" w:cs="Arial"/>
                <w:sz w:val="20"/>
                <w:szCs w:val="20"/>
                <w:lang w:eastAsia="fr-FR"/>
              </w:rPr>
            </w:pPr>
            <w:r w:rsidRPr="0076510A">
              <w:rPr>
                <w:rFonts w:ascii="Arial" w:eastAsia="Times New Roman" w:hAnsi="Arial" w:cs="Arial"/>
                <w:sz w:val="20"/>
                <w:szCs w:val="20"/>
                <w:lang w:eastAsia="fr-FR"/>
              </w:rPr>
              <w:t>48,88</w:t>
            </w:r>
          </w:p>
        </w:tc>
        <w:tc>
          <w:tcPr>
            <w:tcW w:w="1276" w:type="dxa"/>
            <w:tcBorders>
              <w:top w:val="nil"/>
              <w:left w:val="single" w:sz="4" w:space="0" w:color="auto"/>
              <w:bottom w:val="single" w:sz="4" w:space="0" w:color="auto"/>
              <w:right w:val="single" w:sz="4" w:space="0" w:color="auto"/>
            </w:tcBorders>
            <w:shd w:val="clear" w:color="000000" w:fill="FFF2CC"/>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18,4</w:t>
            </w:r>
          </w:p>
        </w:tc>
        <w:tc>
          <w:tcPr>
            <w:tcW w:w="1275" w:type="dxa"/>
            <w:tcBorders>
              <w:top w:val="nil"/>
              <w:left w:val="nil"/>
              <w:bottom w:val="single" w:sz="4" w:space="0" w:color="auto"/>
              <w:right w:val="single" w:sz="4" w:space="0" w:color="auto"/>
            </w:tcBorders>
            <w:shd w:val="clear" w:color="000000" w:fill="D9E1F2"/>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20</w:t>
            </w:r>
          </w:p>
        </w:tc>
      </w:tr>
      <w:tr w:rsidR="0076510A" w:rsidRPr="0076510A" w:rsidTr="0076510A">
        <w:trPr>
          <w:trHeight w:val="450"/>
        </w:trPr>
        <w:tc>
          <w:tcPr>
            <w:tcW w:w="4962" w:type="dxa"/>
            <w:tcBorders>
              <w:top w:val="nil"/>
              <w:left w:val="single" w:sz="4" w:space="0" w:color="000000"/>
              <w:bottom w:val="single" w:sz="4" w:space="0" w:color="000000"/>
              <w:right w:val="single" w:sz="4" w:space="0" w:color="000000"/>
            </w:tcBorders>
            <w:shd w:val="clear" w:color="000000" w:fill="F0F0EF"/>
            <w:noWrap/>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Ratio n°9 (Encours de la dette / R.R.F.)</w:t>
            </w:r>
          </w:p>
        </w:tc>
        <w:tc>
          <w:tcPr>
            <w:tcW w:w="1559" w:type="dxa"/>
            <w:tcBorders>
              <w:top w:val="nil"/>
              <w:left w:val="single" w:sz="4" w:space="0" w:color="000000"/>
              <w:bottom w:val="single" w:sz="4" w:space="0" w:color="000000"/>
              <w:right w:val="nil"/>
            </w:tcBorders>
            <w:shd w:val="clear" w:color="000000" w:fill="F8CBAD"/>
            <w:noWrap/>
            <w:hideMark/>
          </w:tcPr>
          <w:p w:rsidR="0076510A" w:rsidRPr="0076510A" w:rsidRDefault="0076510A" w:rsidP="0076510A">
            <w:pPr>
              <w:spacing w:after="0" w:line="240" w:lineRule="auto"/>
              <w:jc w:val="right"/>
              <w:rPr>
                <w:rFonts w:ascii="Arial" w:eastAsia="Times New Roman" w:hAnsi="Arial" w:cs="Arial"/>
                <w:sz w:val="20"/>
                <w:szCs w:val="20"/>
                <w:lang w:eastAsia="fr-FR"/>
              </w:rPr>
            </w:pPr>
            <w:r w:rsidRPr="0076510A">
              <w:rPr>
                <w:rFonts w:ascii="Arial" w:eastAsia="Times New Roman" w:hAnsi="Arial" w:cs="Arial"/>
                <w:sz w:val="20"/>
                <w:szCs w:val="20"/>
                <w:lang w:eastAsia="fr-FR"/>
              </w:rPr>
              <w:t>29,24</w:t>
            </w:r>
          </w:p>
        </w:tc>
        <w:tc>
          <w:tcPr>
            <w:tcW w:w="1276" w:type="dxa"/>
            <w:tcBorders>
              <w:top w:val="nil"/>
              <w:left w:val="single" w:sz="4" w:space="0" w:color="auto"/>
              <w:bottom w:val="single" w:sz="4" w:space="0" w:color="auto"/>
              <w:right w:val="single" w:sz="4" w:space="0" w:color="auto"/>
            </w:tcBorders>
            <w:shd w:val="clear" w:color="000000" w:fill="FFF2CC"/>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53,7</w:t>
            </w:r>
          </w:p>
        </w:tc>
        <w:tc>
          <w:tcPr>
            <w:tcW w:w="1275" w:type="dxa"/>
            <w:tcBorders>
              <w:top w:val="nil"/>
              <w:left w:val="nil"/>
              <w:bottom w:val="single" w:sz="4" w:space="0" w:color="auto"/>
              <w:right w:val="single" w:sz="4" w:space="0" w:color="auto"/>
            </w:tcBorders>
            <w:shd w:val="clear" w:color="000000" w:fill="D9E1F2"/>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48,6</w:t>
            </w:r>
          </w:p>
        </w:tc>
      </w:tr>
      <w:tr w:rsidR="0076510A" w:rsidRPr="0076510A" w:rsidTr="0076510A">
        <w:trPr>
          <w:trHeight w:val="450"/>
        </w:trPr>
        <w:tc>
          <w:tcPr>
            <w:tcW w:w="4962" w:type="dxa"/>
            <w:tcBorders>
              <w:top w:val="nil"/>
              <w:left w:val="single" w:sz="4" w:space="0" w:color="000000"/>
              <w:bottom w:val="single" w:sz="8" w:space="0" w:color="000000"/>
              <w:right w:val="single" w:sz="4" w:space="0" w:color="000000"/>
            </w:tcBorders>
            <w:shd w:val="clear" w:color="000000" w:fill="FFFFFF"/>
            <w:noWrap/>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Ratio n°10 (Epargne brute / R.R.F)</w:t>
            </w:r>
          </w:p>
        </w:tc>
        <w:tc>
          <w:tcPr>
            <w:tcW w:w="1559" w:type="dxa"/>
            <w:tcBorders>
              <w:top w:val="nil"/>
              <w:left w:val="single" w:sz="4" w:space="0" w:color="000000"/>
              <w:bottom w:val="single" w:sz="8" w:space="0" w:color="000000"/>
              <w:right w:val="nil"/>
            </w:tcBorders>
            <w:shd w:val="clear" w:color="000000" w:fill="F8CBAD"/>
            <w:noWrap/>
            <w:hideMark/>
          </w:tcPr>
          <w:p w:rsidR="0076510A" w:rsidRPr="0076510A" w:rsidRDefault="0076510A" w:rsidP="0076510A">
            <w:pPr>
              <w:spacing w:after="0" w:line="240" w:lineRule="auto"/>
              <w:jc w:val="right"/>
              <w:rPr>
                <w:rFonts w:ascii="Arial" w:eastAsia="Times New Roman" w:hAnsi="Arial" w:cs="Arial"/>
                <w:sz w:val="20"/>
                <w:szCs w:val="20"/>
                <w:lang w:eastAsia="fr-FR"/>
              </w:rPr>
            </w:pPr>
            <w:r w:rsidRPr="0076510A">
              <w:rPr>
                <w:rFonts w:ascii="Arial" w:eastAsia="Times New Roman" w:hAnsi="Arial" w:cs="Arial"/>
                <w:sz w:val="20"/>
                <w:szCs w:val="20"/>
                <w:lang w:eastAsia="fr-FR"/>
              </w:rPr>
              <w:t>13,84</w:t>
            </w:r>
          </w:p>
        </w:tc>
        <w:tc>
          <w:tcPr>
            <w:tcW w:w="1276" w:type="dxa"/>
            <w:tcBorders>
              <w:top w:val="nil"/>
              <w:left w:val="single" w:sz="4" w:space="0" w:color="auto"/>
              <w:bottom w:val="single" w:sz="4" w:space="0" w:color="auto"/>
              <w:right w:val="single" w:sz="4" w:space="0" w:color="auto"/>
            </w:tcBorders>
            <w:shd w:val="clear" w:color="000000" w:fill="FFF2CC"/>
            <w:noWrap/>
            <w:vAlign w:val="center"/>
            <w:hideMark/>
          </w:tcPr>
          <w:p w:rsidR="0076510A" w:rsidRPr="0076510A" w:rsidRDefault="0076510A" w:rsidP="0076510A">
            <w:pPr>
              <w:spacing w:after="0" w:line="240" w:lineRule="auto"/>
              <w:jc w:val="center"/>
              <w:rPr>
                <w:rFonts w:ascii="Arial" w:eastAsia="Times New Roman" w:hAnsi="Arial" w:cs="Arial"/>
                <w:sz w:val="20"/>
                <w:szCs w:val="20"/>
                <w:lang w:eastAsia="fr-FR"/>
              </w:rPr>
            </w:pPr>
            <w:r w:rsidRPr="0076510A">
              <w:rPr>
                <w:rFonts w:ascii="Arial" w:eastAsia="Times New Roman" w:hAnsi="Arial" w:cs="Arial"/>
                <w:sz w:val="20"/>
                <w:szCs w:val="20"/>
                <w:lang w:eastAsia="fr-FR"/>
              </w:rPr>
              <w:t> </w:t>
            </w:r>
          </w:p>
        </w:tc>
        <w:tc>
          <w:tcPr>
            <w:tcW w:w="1275" w:type="dxa"/>
            <w:tcBorders>
              <w:top w:val="nil"/>
              <w:left w:val="nil"/>
              <w:bottom w:val="single" w:sz="4" w:space="0" w:color="auto"/>
              <w:right w:val="single" w:sz="4" w:space="0" w:color="auto"/>
            </w:tcBorders>
            <w:shd w:val="clear" w:color="000000" w:fill="D9E1F2"/>
            <w:noWrap/>
            <w:vAlign w:val="bottom"/>
            <w:hideMark/>
          </w:tcPr>
          <w:p w:rsidR="0076510A" w:rsidRPr="0076510A" w:rsidRDefault="0076510A" w:rsidP="0076510A">
            <w:pPr>
              <w:spacing w:after="0" w:line="240" w:lineRule="auto"/>
              <w:rPr>
                <w:rFonts w:ascii="Arial" w:eastAsia="Times New Roman" w:hAnsi="Arial" w:cs="Arial"/>
                <w:sz w:val="20"/>
                <w:szCs w:val="20"/>
                <w:lang w:eastAsia="fr-FR"/>
              </w:rPr>
            </w:pPr>
            <w:r w:rsidRPr="0076510A">
              <w:rPr>
                <w:rFonts w:ascii="Arial" w:eastAsia="Times New Roman" w:hAnsi="Arial" w:cs="Arial"/>
                <w:sz w:val="20"/>
                <w:szCs w:val="20"/>
                <w:lang w:eastAsia="fr-FR"/>
              </w:rPr>
              <w:t> </w:t>
            </w:r>
          </w:p>
        </w:tc>
      </w:tr>
    </w:tbl>
    <w:p w:rsidR="0076510A" w:rsidRPr="0076510A" w:rsidRDefault="0076510A" w:rsidP="00AB2A01">
      <w:pPr>
        <w:jc w:val="both"/>
        <w:rPr>
          <w:i/>
        </w:rPr>
      </w:pPr>
      <w:r w:rsidRPr="0076510A">
        <w:rPr>
          <w:i/>
        </w:rPr>
        <w:t>Sources ratios 2022 : DGCL</w:t>
      </w:r>
      <w:r>
        <w:rPr>
          <w:i/>
        </w:rPr>
        <w:t xml:space="preserve"> – données </w:t>
      </w:r>
      <w:proofErr w:type="spellStart"/>
      <w:r>
        <w:rPr>
          <w:i/>
        </w:rPr>
        <w:t>dgfip</w:t>
      </w:r>
      <w:proofErr w:type="spellEnd"/>
      <w:r>
        <w:rPr>
          <w:i/>
        </w:rPr>
        <w:t xml:space="preserve"> </w:t>
      </w:r>
    </w:p>
    <w:p w:rsidR="003967D3" w:rsidRDefault="003967D3" w:rsidP="00AB2A01">
      <w:pPr>
        <w:jc w:val="both"/>
      </w:pPr>
    </w:p>
    <w:p w:rsidR="00AB2A01" w:rsidRPr="00AB2A01" w:rsidRDefault="00AB2A01" w:rsidP="00AB2A01">
      <w:pPr>
        <w:pStyle w:val="Paragraphedeliste"/>
        <w:numPr>
          <w:ilvl w:val="0"/>
          <w:numId w:val="5"/>
        </w:numPr>
        <w:shd w:val="clear" w:color="auto" w:fill="D5DCE4" w:themeFill="text2" w:themeFillTint="33"/>
        <w:jc w:val="both"/>
        <w:rPr>
          <w:b/>
        </w:rPr>
      </w:pPr>
      <w:r w:rsidRPr="00AB2A01">
        <w:rPr>
          <w:b/>
        </w:rPr>
        <w:t>BUDGETS ANNEXES ET ZOOM SUR LES SUBVENTIONS D’EQUILIBRE AUX BUDGETS ANNEXES ET BUDGET DE L’EPIC DE TOURISME</w:t>
      </w:r>
    </w:p>
    <w:p w:rsidR="00AB2A01" w:rsidRDefault="00AB2A01" w:rsidP="00AB2A01">
      <w:pPr>
        <w:jc w:val="both"/>
      </w:pPr>
      <w:r>
        <w:t xml:space="preserve">Une note de présentation synthétique présente en annexe les principales évolutions des budgets annexes. </w:t>
      </w:r>
    </w:p>
    <w:p w:rsidR="00F77EB3" w:rsidRDefault="00F77EB3" w:rsidP="00AB2A01">
      <w:pPr>
        <w:jc w:val="both"/>
      </w:pPr>
      <w:r>
        <w:t xml:space="preserve">Le budget principal verse des subventions pour l’équilibre de budgets annexes et du budget de l’office de tourisme. Pour 2024, la prévision est de 576 761 €. Ce volume est globalement stable sur les 5 dernières années (moyenne de 543 K€). </w:t>
      </w:r>
    </w:p>
    <w:p w:rsidR="00AB2A01" w:rsidRDefault="00AB2A01" w:rsidP="00AB2A01">
      <w:pPr>
        <w:jc w:val="both"/>
      </w:pPr>
      <w:r>
        <w:t>Les budgets annexes s’équilibrent pour 2024 comme suit :</w:t>
      </w:r>
    </w:p>
    <w:tbl>
      <w:tblPr>
        <w:tblW w:w="9072" w:type="dxa"/>
        <w:tblLayout w:type="fixed"/>
        <w:tblCellMar>
          <w:left w:w="70" w:type="dxa"/>
          <w:right w:w="70" w:type="dxa"/>
        </w:tblCellMar>
        <w:tblLook w:val="04A0" w:firstRow="1" w:lastRow="0" w:firstColumn="1" w:lastColumn="0" w:noHBand="0" w:noVBand="1"/>
      </w:tblPr>
      <w:tblGrid>
        <w:gridCol w:w="2694"/>
        <w:gridCol w:w="1388"/>
        <w:gridCol w:w="1247"/>
        <w:gridCol w:w="1248"/>
        <w:gridCol w:w="1247"/>
        <w:gridCol w:w="1248"/>
      </w:tblGrid>
      <w:tr w:rsidR="00AB2A01" w:rsidRPr="00D2213C" w:rsidTr="00AB2A01">
        <w:trPr>
          <w:trHeight w:val="300"/>
        </w:trPr>
        <w:tc>
          <w:tcPr>
            <w:tcW w:w="2694" w:type="dxa"/>
            <w:tcBorders>
              <w:top w:val="nil"/>
              <w:left w:val="nil"/>
              <w:bottom w:val="nil"/>
              <w:right w:val="nil"/>
            </w:tcBorders>
            <w:shd w:val="clear" w:color="000000" w:fill="BDD7EE"/>
            <w:noWrap/>
            <w:vAlign w:val="bottom"/>
            <w:hideMark/>
          </w:tcPr>
          <w:p w:rsidR="00AB2A01" w:rsidRPr="00D2213C" w:rsidRDefault="00AB2A01" w:rsidP="00F14FBB">
            <w:pPr>
              <w:spacing w:after="0" w:line="240" w:lineRule="auto"/>
              <w:rPr>
                <w:rFonts w:ascii="Calibri" w:eastAsia="Times New Roman" w:hAnsi="Calibri" w:cs="Calibri"/>
                <w:b/>
                <w:bCs/>
                <w:i/>
                <w:iCs/>
                <w:color w:val="000000"/>
                <w:lang w:eastAsia="fr-FR"/>
              </w:rPr>
            </w:pPr>
            <w:r w:rsidRPr="00D2213C">
              <w:rPr>
                <w:rFonts w:ascii="Calibri" w:eastAsia="Times New Roman" w:hAnsi="Calibri" w:cs="Calibri"/>
                <w:b/>
                <w:bCs/>
                <w:i/>
                <w:iCs/>
                <w:color w:val="000000"/>
                <w:lang w:eastAsia="fr-FR"/>
              </w:rPr>
              <w:t>Subventions au</w:t>
            </w:r>
            <w:r>
              <w:rPr>
                <w:rFonts w:ascii="Calibri" w:eastAsia="Times New Roman" w:hAnsi="Calibri" w:cs="Calibri"/>
                <w:b/>
                <w:bCs/>
                <w:i/>
                <w:iCs/>
                <w:color w:val="000000"/>
                <w:lang w:eastAsia="fr-FR"/>
              </w:rPr>
              <w:t>x</w:t>
            </w:r>
            <w:r w:rsidRPr="00D2213C">
              <w:rPr>
                <w:rFonts w:ascii="Calibri" w:eastAsia="Times New Roman" w:hAnsi="Calibri" w:cs="Calibri"/>
                <w:b/>
                <w:bCs/>
                <w:i/>
                <w:iCs/>
                <w:color w:val="000000"/>
                <w:lang w:eastAsia="fr-FR"/>
              </w:rPr>
              <w:t xml:space="preserve"> BA</w:t>
            </w:r>
          </w:p>
        </w:tc>
        <w:tc>
          <w:tcPr>
            <w:tcW w:w="138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AB2A01" w:rsidRPr="00D2213C" w:rsidRDefault="00AB2A01" w:rsidP="00F14FBB">
            <w:pPr>
              <w:spacing w:after="0" w:line="240" w:lineRule="auto"/>
              <w:jc w:val="center"/>
              <w:rPr>
                <w:rFonts w:ascii="Calibri" w:eastAsia="Times New Roman" w:hAnsi="Calibri" w:cs="Calibri"/>
                <w:b/>
                <w:bCs/>
                <w:i/>
                <w:iCs/>
                <w:color w:val="000000"/>
                <w:lang w:eastAsia="fr-FR"/>
              </w:rPr>
            </w:pPr>
            <w:r w:rsidRPr="00D2213C">
              <w:rPr>
                <w:rFonts w:ascii="Calibri" w:eastAsia="Times New Roman" w:hAnsi="Calibri" w:cs="Calibri"/>
                <w:b/>
                <w:bCs/>
                <w:i/>
                <w:iCs/>
                <w:color w:val="000000"/>
                <w:lang w:eastAsia="fr-FR"/>
              </w:rPr>
              <w:t>2020</w:t>
            </w:r>
          </w:p>
        </w:tc>
        <w:tc>
          <w:tcPr>
            <w:tcW w:w="1247" w:type="dxa"/>
            <w:tcBorders>
              <w:top w:val="single" w:sz="4" w:space="0" w:color="auto"/>
              <w:left w:val="nil"/>
              <w:bottom w:val="single" w:sz="4" w:space="0" w:color="auto"/>
              <w:right w:val="single" w:sz="4" w:space="0" w:color="auto"/>
            </w:tcBorders>
            <w:shd w:val="clear" w:color="000000" w:fill="BDD7EE"/>
            <w:noWrap/>
            <w:vAlign w:val="bottom"/>
            <w:hideMark/>
          </w:tcPr>
          <w:p w:rsidR="00AB2A01" w:rsidRPr="00D2213C" w:rsidRDefault="00AB2A01" w:rsidP="00F14FBB">
            <w:pPr>
              <w:spacing w:after="0" w:line="240" w:lineRule="auto"/>
              <w:jc w:val="center"/>
              <w:rPr>
                <w:rFonts w:ascii="Calibri" w:eastAsia="Times New Roman" w:hAnsi="Calibri" w:cs="Calibri"/>
                <w:b/>
                <w:bCs/>
                <w:i/>
                <w:iCs/>
                <w:color w:val="000000"/>
                <w:lang w:eastAsia="fr-FR"/>
              </w:rPr>
            </w:pPr>
            <w:r w:rsidRPr="00D2213C">
              <w:rPr>
                <w:rFonts w:ascii="Calibri" w:eastAsia="Times New Roman" w:hAnsi="Calibri" w:cs="Calibri"/>
                <w:b/>
                <w:bCs/>
                <w:i/>
                <w:iCs/>
                <w:color w:val="000000"/>
                <w:lang w:eastAsia="fr-FR"/>
              </w:rPr>
              <w:t>2021</w:t>
            </w:r>
          </w:p>
        </w:tc>
        <w:tc>
          <w:tcPr>
            <w:tcW w:w="1248" w:type="dxa"/>
            <w:tcBorders>
              <w:top w:val="single" w:sz="4" w:space="0" w:color="auto"/>
              <w:left w:val="nil"/>
              <w:bottom w:val="single" w:sz="4" w:space="0" w:color="auto"/>
              <w:right w:val="single" w:sz="4" w:space="0" w:color="auto"/>
            </w:tcBorders>
            <w:shd w:val="clear" w:color="000000" w:fill="BDD7EE"/>
            <w:noWrap/>
            <w:vAlign w:val="bottom"/>
            <w:hideMark/>
          </w:tcPr>
          <w:p w:rsidR="00AB2A01" w:rsidRPr="00D2213C" w:rsidRDefault="00AB2A01" w:rsidP="00F14FBB">
            <w:pPr>
              <w:spacing w:after="0" w:line="240" w:lineRule="auto"/>
              <w:jc w:val="center"/>
              <w:rPr>
                <w:rFonts w:ascii="Calibri" w:eastAsia="Times New Roman" w:hAnsi="Calibri" w:cs="Calibri"/>
                <w:b/>
                <w:bCs/>
                <w:i/>
                <w:iCs/>
                <w:color w:val="000000"/>
                <w:lang w:eastAsia="fr-FR"/>
              </w:rPr>
            </w:pPr>
            <w:r w:rsidRPr="00D2213C">
              <w:rPr>
                <w:rFonts w:ascii="Calibri" w:eastAsia="Times New Roman" w:hAnsi="Calibri" w:cs="Calibri"/>
                <w:b/>
                <w:bCs/>
                <w:i/>
                <w:iCs/>
                <w:color w:val="000000"/>
                <w:lang w:eastAsia="fr-FR"/>
              </w:rPr>
              <w:t>2022</w:t>
            </w:r>
          </w:p>
        </w:tc>
        <w:tc>
          <w:tcPr>
            <w:tcW w:w="1247" w:type="dxa"/>
            <w:tcBorders>
              <w:top w:val="single" w:sz="4" w:space="0" w:color="auto"/>
              <w:left w:val="nil"/>
              <w:bottom w:val="single" w:sz="4" w:space="0" w:color="auto"/>
              <w:right w:val="single" w:sz="4" w:space="0" w:color="auto"/>
            </w:tcBorders>
            <w:shd w:val="clear" w:color="000000" w:fill="BDD7EE"/>
            <w:noWrap/>
            <w:vAlign w:val="bottom"/>
            <w:hideMark/>
          </w:tcPr>
          <w:p w:rsidR="00AB2A01" w:rsidRPr="00D2213C" w:rsidRDefault="00AB2A01" w:rsidP="00F14FBB">
            <w:pPr>
              <w:spacing w:after="0" w:line="240" w:lineRule="auto"/>
              <w:jc w:val="center"/>
              <w:rPr>
                <w:rFonts w:ascii="Calibri" w:eastAsia="Times New Roman" w:hAnsi="Calibri" w:cs="Calibri"/>
                <w:b/>
                <w:bCs/>
                <w:i/>
                <w:iCs/>
                <w:color w:val="000000"/>
                <w:lang w:eastAsia="fr-FR"/>
              </w:rPr>
            </w:pPr>
            <w:r w:rsidRPr="00D2213C">
              <w:rPr>
                <w:rFonts w:ascii="Calibri" w:eastAsia="Times New Roman" w:hAnsi="Calibri" w:cs="Calibri"/>
                <w:b/>
                <w:bCs/>
                <w:i/>
                <w:iCs/>
                <w:color w:val="000000"/>
                <w:lang w:eastAsia="fr-FR"/>
              </w:rPr>
              <w:t>2023</w:t>
            </w:r>
          </w:p>
        </w:tc>
        <w:tc>
          <w:tcPr>
            <w:tcW w:w="1248" w:type="dxa"/>
            <w:tcBorders>
              <w:top w:val="single" w:sz="4" w:space="0" w:color="auto"/>
              <w:left w:val="nil"/>
              <w:bottom w:val="single" w:sz="4" w:space="0" w:color="auto"/>
              <w:right w:val="single" w:sz="4" w:space="0" w:color="auto"/>
            </w:tcBorders>
            <w:shd w:val="clear" w:color="000000" w:fill="BDD7EE"/>
            <w:noWrap/>
            <w:vAlign w:val="bottom"/>
            <w:hideMark/>
          </w:tcPr>
          <w:p w:rsidR="00AB2A01" w:rsidRPr="00D2213C" w:rsidRDefault="00AB2A01" w:rsidP="00F14FBB">
            <w:pPr>
              <w:spacing w:after="0" w:line="240" w:lineRule="auto"/>
              <w:jc w:val="center"/>
              <w:rPr>
                <w:rFonts w:ascii="Calibri" w:eastAsia="Times New Roman" w:hAnsi="Calibri" w:cs="Calibri"/>
                <w:b/>
                <w:bCs/>
                <w:i/>
                <w:iCs/>
                <w:color w:val="000000"/>
                <w:lang w:eastAsia="fr-FR"/>
              </w:rPr>
            </w:pPr>
            <w:r w:rsidRPr="00D2213C">
              <w:rPr>
                <w:rFonts w:ascii="Calibri" w:eastAsia="Times New Roman" w:hAnsi="Calibri" w:cs="Calibri"/>
                <w:b/>
                <w:bCs/>
                <w:i/>
                <w:iCs/>
                <w:color w:val="000000"/>
                <w:lang w:eastAsia="fr-FR"/>
              </w:rPr>
              <w:t>2024</w:t>
            </w:r>
          </w:p>
        </w:tc>
      </w:tr>
      <w:tr w:rsidR="00AB2A01" w:rsidRPr="00D2213C" w:rsidTr="00AB2A01">
        <w:trPr>
          <w:trHeight w:val="300"/>
        </w:trPr>
        <w:tc>
          <w:tcPr>
            <w:tcW w:w="269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AB2A01" w:rsidRPr="00D2213C" w:rsidRDefault="00AB2A01" w:rsidP="00F14FBB">
            <w:pPr>
              <w:spacing w:after="0" w:line="240" w:lineRule="auto"/>
              <w:rPr>
                <w:rFonts w:ascii="Calibri" w:eastAsia="Times New Roman" w:hAnsi="Calibri" w:cs="Calibri"/>
                <w:b/>
                <w:bCs/>
                <w:i/>
                <w:iCs/>
                <w:color w:val="000000"/>
                <w:lang w:eastAsia="fr-FR"/>
              </w:rPr>
            </w:pPr>
            <w:r w:rsidRPr="00D2213C">
              <w:rPr>
                <w:rFonts w:ascii="Calibri" w:eastAsia="Times New Roman" w:hAnsi="Calibri" w:cs="Calibri"/>
                <w:b/>
                <w:bCs/>
                <w:i/>
                <w:iCs/>
                <w:color w:val="000000"/>
                <w:lang w:eastAsia="fr-FR"/>
              </w:rPr>
              <w:t>EMI</w:t>
            </w:r>
          </w:p>
        </w:tc>
        <w:tc>
          <w:tcPr>
            <w:tcW w:w="1388"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265 664 € </w:t>
            </w:r>
          </w:p>
        </w:tc>
        <w:tc>
          <w:tcPr>
            <w:tcW w:w="1247"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238 981 € </w:t>
            </w:r>
          </w:p>
        </w:tc>
        <w:tc>
          <w:tcPr>
            <w:tcW w:w="1248"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275 263 € </w:t>
            </w:r>
          </w:p>
        </w:tc>
        <w:tc>
          <w:tcPr>
            <w:tcW w:w="1247"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260 021 € </w:t>
            </w:r>
          </w:p>
        </w:tc>
        <w:tc>
          <w:tcPr>
            <w:tcW w:w="1248"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310 931 € </w:t>
            </w:r>
          </w:p>
        </w:tc>
      </w:tr>
      <w:tr w:rsidR="00635644" w:rsidRPr="00D2213C" w:rsidTr="00F14FBB">
        <w:trPr>
          <w:trHeight w:val="300"/>
        </w:trPr>
        <w:tc>
          <w:tcPr>
            <w:tcW w:w="2694" w:type="dxa"/>
            <w:tcBorders>
              <w:top w:val="nil"/>
              <w:left w:val="single" w:sz="4" w:space="0" w:color="auto"/>
              <w:bottom w:val="single" w:sz="4" w:space="0" w:color="auto"/>
              <w:right w:val="single" w:sz="4" w:space="0" w:color="auto"/>
            </w:tcBorders>
            <w:shd w:val="clear" w:color="000000" w:fill="BDD7EE"/>
            <w:noWrap/>
            <w:vAlign w:val="bottom"/>
            <w:hideMark/>
          </w:tcPr>
          <w:p w:rsidR="00635644" w:rsidRPr="00D2213C" w:rsidRDefault="00635644" w:rsidP="00F14FBB">
            <w:pPr>
              <w:spacing w:after="0" w:line="240" w:lineRule="auto"/>
              <w:rPr>
                <w:rFonts w:ascii="Calibri" w:eastAsia="Times New Roman" w:hAnsi="Calibri" w:cs="Calibri"/>
                <w:b/>
                <w:bCs/>
                <w:i/>
                <w:iCs/>
                <w:color w:val="000000"/>
                <w:lang w:eastAsia="fr-FR"/>
              </w:rPr>
            </w:pPr>
            <w:r w:rsidRPr="00D2213C">
              <w:rPr>
                <w:rFonts w:ascii="Calibri" w:eastAsia="Times New Roman" w:hAnsi="Calibri" w:cs="Calibri"/>
                <w:b/>
                <w:bCs/>
                <w:i/>
                <w:iCs/>
                <w:color w:val="000000"/>
                <w:lang w:eastAsia="fr-FR"/>
              </w:rPr>
              <w:t>NPI Subvention équilibre</w:t>
            </w:r>
          </w:p>
        </w:tc>
        <w:tc>
          <w:tcPr>
            <w:tcW w:w="1388" w:type="dxa"/>
            <w:vMerge w:val="restart"/>
            <w:tcBorders>
              <w:top w:val="nil"/>
              <w:left w:val="nil"/>
              <w:right w:val="single" w:sz="4" w:space="0" w:color="auto"/>
            </w:tcBorders>
            <w:shd w:val="clear" w:color="auto" w:fill="auto"/>
            <w:noWrap/>
            <w:vAlign w:val="bottom"/>
            <w:hideMark/>
          </w:tcPr>
          <w:p w:rsidR="00635644" w:rsidRPr="00D2213C" w:rsidRDefault="00635644" w:rsidP="00635644">
            <w:pPr>
              <w:spacing w:after="0" w:line="240" w:lineRule="auto"/>
              <w:jc w:val="right"/>
              <w:rPr>
                <w:rFonts w:ascii="Calibri" w:eastAsia="Times New Roman" w:hAnsi="Calibri" w:cs="Calibri"/>
                <w:color w:val="000000"/>
                <w:lang w:eastAsia="fr-FR"/>
              </w:rPr>
            </w:pPr>
            <w:r>
              <w:rPr>
                <w:rFonts w:ascii="Calibri" w:eastAsia="Times New Roman" w:hAnsi="Calibri" w:cs="Calibri"/>
                <w:color w:val="000000"/>
                <w:lang w:eastAsia="fr-FR"/>
              </w:rPr>
              <w:t>162 835 €</w:t>
            </w:r>
          </w:p>
        </w:tc>
        <w:tc>
          <w:tcPr>
            <w:tcW w:w="1247" w:type="dxa"/>
            <w:tcBorders>
              <w:top w:val="nil"/>
              <w:left w:val="nil"/>
              <w:bottom w:val="single" w:sz="4" w:space="0" w:color="auto"/>
              <w:right w:val="single" w:sz="4" w:space="0" w:color="auto"/>
            </w:tcBorders>
            <w:shd w:val="clear" w:color="auto" w:fill="auto"/>
            <w:noWrap/>
            <w:vAlign w:val="bottom"/>
            <w:hideMark/>
          </w:tcPr>
          <w:p w:rsidR="00635644" w:rsidRPr="00D2213C" w:rsidRDefault="00635644"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7 078 € </w:t>
            </w:r>
          </w:p>
        </w:tc>
        <w:tc>
          <w:tcPr>
            <w:tcW w:w="1248" w:type="dxa"/>
            <w:tcBorders>
              <w:top w:val="nil"/>
              <w:left w:val="nil"/>
              <w:bottom w:val="single" w:sz="4" w:space="0" w:color="auto"/>
              <w:right w:val="single" w:sz="4" w:space="0" w:color="auto"/>
            </w:tcBorders>
            <w:shd w:val="clear" w:color="auto" w:fill="auto"/>
            <w:noWrap/>
            <w:vAlign w:val="bottom"/>
            <w:hideMark/>
          </w:tcPr>
          <w:p w:rsidR="00635644" w:rsidRPr="00D2213C" w:rsidRDefault="00635644"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93 792 € </w:t>
            </w:r>
          </w:p>
        </w:tc>
        <w:tc>
          <w:tcPr>
            <w:tcW w:w="1247" w:type="dxa"/>
            <w:tcBorders>
              <w:top w:val="nil"/>
              <w:left w:val="nil"/>
              <w:bottom w:val="single" w:sz="4" w:space="0" w:color="auto"/>
              <w:right w:val="single" w:sz="4" w:space="0" w:color="auto"/>
            </w:tcBorders>
            <w:shd w:val="clear" w:color="auto" w:fill="auto"/>
            <w:noWrap/>
            <w:vAlign w:val="bottom"/>
            <w:hideMark/>
          </w:tcPr>
          <w:p w:rsidR="00635644" w:rsidRPr="00D2213C" w:rsidRDefault="00635644"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99 993 € </w:t>
            </w:r>
          </w:p>
        </w:tc>
        <w:tc>
          <w:tcPr>
            <w:tcW w:w="1248" w:type="dxa"/>
            <w:tcBorders>
              <w:top w:val="nil"/>
              <w:left w:val="nil"/>
              <w:bottom w:val="single" w:sz="4" w:space="0" w:color="auto"/>
              <w:right w:val="single" w:sz="4" w:space="0" w:color="auto"/>
            </w:tcBorders>
            <w:shd w:val="clear" w:color="auto" w:fill="auto"/>
            <w:noWrap/>
            <w:vAlign w:val="bottom"/>
            <w:hideMark/>
          </w:tcPr>
          <w:p w:rsidR="00635644" w:rsidRPr="00D2213C" w:rsidRDefault="00635644"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92 462 € </w:t>
            </w:r>
          </w:p>
        </w:tc>
      </w:tr>
      <w:tr w:rsidR="00635644" w:rsidRPr="00D2213C" w:rsidTr="00F14FBB">
        <w:trPr>
          <w:trHeight w:val="300"/>
        </w:trPr>
        <w:tc>
          <w:tcPr>
            <w:tcW w:w="2694" w:type="dxa"/>
            <w:tcBorders>
              <w:top w:val="nil"/>
              <w:left w:val="single" w:sz="4" w:space="0" w:color="auto"/>
              <w:bottom w:val="single" w:sz="4" w:space="0" w:color="auto"/>
              <w:right w:val="single" w:sz="4" w:space="0" w:color="auto"/>
            </w:tcBorders>
            <w:shd w:val="clear" w:color="000000" w:fill="BDD7EE"/>
            <w:noWrap/>
            <w:vAlign w:val="bottom"/>
            <w:hideMark/>
          </w:tcPr>
          <w:p w:rsidR="00635644" w:rsidRPr="00635644" w:rsidRDefault="00635644" w:rsidP="00F14FBB">
            <w:pPr>
              <w:spacing w:after="0" w:line="240" w:lineRule="auto"/>
              <w:rPr>
                <w:rFonts w:ascii="Calibri" w:eastAsia="Times New Roman" w:hAnsi="Calibri" w:cs="Calibri"/>
                <w:b/>
                <w:bCs/>
                <w:i/>
                <w:iCs/>
                <w:color w:val="000000"/>
                <w:highlight w:val="yellow"/>
                <w:lang w:eastAsia="fr-FR"/>
              </w:rPr>
            </w:pPr>
            <w:r w:rsidRPr="00635644">
              <w:rPr>
                <w:rFonts w:ascii="Calibri" w:eastAsia="Times New Roman" w:hAnsi="Calibri" w:cs="Calibri"/>
                <w:b/>
                <w:bCs/>
                <w:i/>
                <w:iCs/>
                <w:color w:val="000000"/>
                <w:highlight w:val="yellow"/>
                <w:lang w:eastAsia="fr-FR"/>
              </w:rPr>
              <w:t>NPI Participation voile scolaire</w:t>
            </w:r>
          </w:p>
        </w:tc>
        <w:tc>
          <w:tcPr>
            <w:tcW w:w="1388" w:type="dxa"/>
            <w:vMerge/>
            <w:tcBorders>
              <w:left w:val="nil"/>
              <w:bottom w:val="single" w:sz="4" w:space="0" w:color="auto"/>
              <w:right w:val="single" w:sz="4" w:space="0" w:color="auto"/>
            </w:tcBorders>
            <w:shd w:val="clear" w:color="auto" w:fill="auto"/>
            <w:noWrap/>
            <w:vAlign w:val="bottom"/>
            <w:hideMark/>
          </w:tcPr>
          <w:p w:rsidR="00635644" w:rsidRPr="00635644" w:rsidRDefault="00635644" w:rsidP="00635644">
            <w:pPr>
              <w:spacing w:after="0" w:line="240" w:lineRule="auto"/>
              <w:jc w:val="right"/>
              <w:rPr>
                <w:rFonts w:ascii="Calibri" w:eastAsia="Times New Roman" w:hAnsi="Calibri" w:cs="Calibri"/>
                <w:color w:val="000000"/>
                <w:highlight w:val="yellow"/>
                <w:lang w:eastAsia="fr-FR"/>
              </w:rPr>
            </w:pPr>
          </w:p>
        </w:tc>
        <w:tc>
          <w:tcPr>
            <w:tcW w:w="1247" w:type="dxa"/>
            <w:tcBorders>
              <w:top w:val="nil"/>
              <w:left w:val="nil"/>
              <w:bottom w:val="single" w:sz="4" w:space="0" w:color="auto"/>
              <w:right w:val="single" w:sz="4" w:space="0" w:color="auto"/>
            </w:tcBorders>
            <w:shd w:val="clear" w:color="auto" w:fill="auto"/>
            <w:noWrap/>
            <w:vAlign w:val="bottom"/>
            <w:hideMark/>
          </w:tcPr>
          <w:p w:rsidR="00635644" w:rsidRPr="00635644" w:rsidRDefault="00635644" w:rsidP="00635644">
            <w:pPr>
              <w:spacing w:after="0" w:line="240" w:lineRule="auto"/>
              <w:jc w:val="right"/>
              <w:rPr>
                <w:rFonts w:ascii="Calibri" w:eastAsia="Times New Roman" w:hAnsi="Calibri" w:cs="Calibri"/>
                <w:color w:val="000000"/>
                <w:highlight w:val="yellow"/>
                <w:lang w:eastAsia="fr-FR"/>
              </w:rPr>
            </w:pPr>
            <w:r w:rsidRPr="00635644">
              <w:rPr>
                <w:rFonts w:ascii="Calibri" w:eastAsia="Times New Roman" w:hAnsi="Calibri" w:cs="Calibri"/>
                <w:color w:val="000000"/>
                <w:highlight w:val="yellow"/>
                <w:lang w:eastAsia="fr-FR"/>
              </w:rPr>
              <w:t>81 744 € </w:t>
            </w:r>
          </w:p>
        </w:tc>
        <w:tc>
          <w:tcPr>
            <w:tcW w:w="1248" w:type="dxa"/>
            <w:tcBorders>
              <w:top w:val="nil"/>
              <w:left w:val="nil"/>
              <w:bottom w:val="single" w:sz="4" w:space="0" w:color="auto"/>
              <w:right w:val="single" w:sz="4" w:space="0" w:color="auto"/>
            </w:tcBorders>
            <w:shd w:val="clear" w:color="auto" w:fill="auto"/>
            <w:noWrap/>
            <w:vAlign w:val="bottom"/>
            <w:hideMark/>
          </w:tcPr>
          <w:p w:rsidR="00635644" w:rsidRPr="00635644" w:rsidRDefault="00635644" w:rsidP="00635644">
            <w:pPr>
              <w:spacing w:after="0" w:line="240" w:lineRule="auto"/>
              <w:jc w:val="right"/>
              <w:rPr>
                <w:rFonts w:ascii="Calibri" w:eastAsia="Times New Roman" w:hAnsi="Calibri" w:cs="Calibri"/>
                <w:color w:val="000000"/>
                <w:highlight w:val="yellow"/>
                <w:lang w:eastAsia="fr-FR"/>
              </w:rPr>
            </w:pPr>
            <w:r w:rsidRPr="00635644">
              <w:rPr>
                <w:rFonts w:ascii="Calibri" w:eastAsia="Times New Roman" w:hAnsi="Calibri" w:cs="Calibri"/>
                <w:color w:val="000000"/>
                <w:highlight w:val="yellow"/>
                <w:lang w:eastAsia="fr-FR"/>
              </w:rPr>
              <w:t> 76 200 €</w:t>
            </w:r>
          </w:p>
        </w:tc>
        <w:tc>
          <w:tcPr>
            <w:tcW w:w="1247" w:type="dxa"/>
            <w:tcBorders>
              <w:top w:val="nil"/>
              <w:left w:val="nil"/>
              <w:bottom w:val="single" w:sz="4" w:space="0" w:color="auto"/>
              <w:right w:val="single" w:sz="4" w:space="0" w:color="auto"/>
            </w:tcBorders>
            <w:shd w:val="clear" w:color="auto" w:fill="auto"/>
            <w:noWrap/>
            <w:vAlign w:val="bottom"/>
            <w:hideMark/>
          </w:tcPr>
          <w:p w:rsidR="00635644" w:rsidRPr="00635644" w:rsidRDefault="00635644" w:rsidP="00F14FBB">
            <w:pPr>
              <w:spacing w:after="0" w:line="240" w:lineRule="auto"/>
              <w:rPr>
                <w:rFonts w:ascii="Calibri" w:eastAsia="Times New Roman" w:hAnsi="Calibri" w:cs="Calibri"/>
                <w:color w:val="000000"/>
                <w:highlight w:val="yellow"/>
                <w:lang w:eastAsia="fr-FR"/>
              </w:rPr>
            </w:pPr>
            <w:r w:rsidRPr="00635644">
              <w:rPr>
                <w:rFonts w:ascii="Calibri" w:eastAsia="Times New Roman" w:hAnsi="Calibri" w:cs="Calibri"/>
                <w:color w:val="000000"/>
                <w:highlight w:val="yellow"/>
                <w:lang w:eastAsia="fr-FR"/>
              </w:rPr>
              <w:t> 89 172.16 €</w:t>
            </w:r>
          </w:p>
        </w:tc>
        <w:tc>
          <w:tcPr>
            <w:tcW w:w="1248" w:type="dxa"/>
            <w:tcBorders>
              <w:top w:val="nil"/>
              <w:left w:val="nil"/>
              <w:bottom w:val="single" w:sz="4" w:space="0" w:color="auto"/>
              <w:right w:val="single" w:sz="4" w:space="0" w:color="auto"/>
            </w:tcBorders>
            <w:shd w:val="clear" w:color="auto" w:fill="auto"/>
            <w:noWrap/>
            <w:vAlign w:val="bottom"/>
            <w:hideMark/>
          </w:tcPr>
          <w:p w:rsidR="00635644" w:rsidRPr="00635644" w:rsidRDefault="00635644" w:rsidP="00F14FBB">
            <w:pPr>
              <w:spacing w:after="0" w:line="240" w:lineRule="auto"/>
              <w:jc w:val="right"/>
              <w:rPr>
                <w:rFonts w:ascii="Calibri" w:eastAsia="Times New Roman" w:hAnsi="Calibri" w:cs="Calibri"/>
                <w:color w:val="000000"/>
                <w:highlight w:val="yellow"/>
                <w:lang w:eastAsia="fr-FR"/>
              </w:rPr>
            </w:pPr>
            <w:r w:rsidRPr="00635644">
              <w:rPr>
                <w:rFonts w:ascii="Calibri" w:eastAsia="Times New Roman" w:hAnsi="Calibri" w:cs="Calibri"/>
                <w:color w:val="000000"/>
                <w:highlight w:val="yellow"/>
                <w:lang w:eastAsia="fr-FR"/>
              </w:rPr>
              <w:t xml:space="preserve">  112 000 € </w:t>
            </w:r>
          </w:p>
        </w:tc>
      </w:tr>
      <w:tr w:rsidR="00AB2A01" w:rsidRPr="00D2213C" w:rsidTr="00AB2A01">
        <w:trPr>
          <w:trHeight w:val="300"/>
        </w:trPr>
        <w:tc>
          <w:tcPr>
            <w:tcW w:w="2694" w:type="dxa"/>
            <w:tcBorders>
              <w:top w:val="nil"/>
              <w:left w:val="single" w:sz="4" w:space="0" w:color="auto"/>
              <w:bottom w:val="single" w:sz="4" w:space="0" w:color="auto"/>
              <w:right w:val="single" w:sz="4" w:space="0" w:color="auto"/>
            </w:tcBorders>
            <w:shd w:val="clear" w:color="000000" w:fill="BDD7EE"/>
            <w:noWrap/>
            <w:vAlign w:val="bottom"/>
            <w:hideMark/>
          </w:tcPr>
          <w:p w:rsidR="00AB2A01" w:rsidRPr="00D2213C" w:rsidRDefault="00AB2A01" w:rsidP="00F14FBB">
            <w:pPr>
              <w:spacing w:after="0" w:line="240" w:lineRule="auto"/>
              <w:rPr>
                <w:rFonts w:ascii="Calibri" w:eastAsia="Times New Roman" w:hAnsi="Calibri" w:cs="Calibri"/>
                <w:b/>
                <w:bCs/>
                <w:i/>
                <w:iCs/>
                <w:color w:val="000000"/>
                <w:lang w:eastAsia="fr-FR"/>
              </w:rPr>
            </w:pPr>
            <w:r w:rsidRPr="00D2213C">
              <w:rPr>
                <w:rFonts w:ascii="Calibri" w:eastAsia="Times New Roman" w:hAnsi="Calibri" w:cs="Calibri"/>
                <w:b/>
                <w:bCs/>
                <w:i/>
                <w:iCs/>
                <w:color w:val="000000"/>
                <w:lang w:eastAsia="fr-FR"/>
              </w:rPr>
              <w:t>Immobilier d'entreprises</w:t>
            </w:r>
          </w:p>
        </w:tc>
        <w:tc>
          <w:tcPr>
            <w:tcW w:w="1388"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148 168 € </w:t>
            </w:r>
          </w:p>
        </w:tc>
        <w:tc>
          <w:tcPr>
            <w:tcW w:w="1247"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124 070 € </w:t>
            </w:r>
          </w:p>
        </w:tc>
        <w:tc>
          <w:tcPr>
            <w:tcW w:w="1248"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192 490 € </w:t>
            </w:r>
          </w:p>
        </w:tc>
        <w:tc>
          <w:tcPr>
            <w:tcW w:w="1247"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138 713 € </w:t>
            </w:r>
          </w:p>
        </w:tc>
        <w:tc>
          <w:tcPr>
            <w:tcW w:w="1248" w:type="dxa"/>
            <w:tcBorders>
              <w:top w:val="nil"/>
              <w:left w:val="nil"/>
              <w:bottom w:val="single" w:sz="4" w:space="0" w:color="auto"/>
              <w:right w:val="single" w:sz="4" w:space="0" w:color="auto"/>
            </w:tcBorders>
            <w:shd w:val="clear" w:color="auto" w:fill="auto"/>
            <w:noWrap/>
            <w:vAlign w:val="bottom"/>
            <w:hideMark/>
          </w:tcPr>
          <w:p w:rsidR="00AB2A01" w:rsidRPr="00D2213C" w:rsidRDefault="00642DBB" w:rsidP="00F14FBB">
            <w:pPr>
              <w:spacing w:after="0" w:line="240" w:lineRule="auto"/>
              <w:jc w:val="right"/>
              <w:rPr>
                <w:rFonts w:ascii="Calibri" w:eastAsia="Times New Roman" w:hAnsi="Calibri" w:cs="Calibri"/>
                <w:color w:val="000000"/>
                <w:lang w:eastAsia="fr-FR"/>
              </w:rPr>
            </w:pPr>
            <w:r>
              <w:rPr>
                <w:rFonts w:ascii="Calibri" w:eastAsia="Times New Roman" w:hAnsi="Calibri" w:cs="Calibri"/>
                <w:color w:val="000000"/>
                <w:lang w:eastAsia="fr-FR"/>
              </w:rPr>
              <w:t>144 000 €</w:t>
            </w:r>
            <w:r w:rsidR="00AB2A01" w:rsidRPr="00D2213C">
              <w:rPr>
                <w:rFonts w:ascii="Calibri" w:eastAsia="Times New Roman" w:hAnsi="Calibri" w:cs="Calibri"/>
                <w:color w:val="000000"/>
                <w:lang w:eastAsia="fr-FR"/>
              </w:rPr>
              <w:t> </w:t>
            </w:r>
          </w:p>
        </w:tc>
      </w:tr>
      <w:tr w:rsidR="00AB2A01" w:rsidRPr="00D2213C" w:rsidTr="00AB2A01">
        <w:trPr>
          <w:trHeight w:val="300"/>
        </w:trPr>
        <w:tc>
          <w:tcPr>
            <w:tcW w:w="2694" w:type="dxa"/>
            <w:tcBorders>
              <w:top w:val="nil"/>
              <w:left w:val="single" w:sz="4" w:space="0" w:color="auto"/>
              <w:bottom w:val="single" w:sz="4" w:space="0" w:color="auto"/>
              <w:right w:val="single" w:sz="4" w:space="0" w:color="auto"/>
            </w:tcBorders>
            <w:shd w:val="clear" w:color="000000" w:fill="BDD7EE"/>
            <w:noWrap/>
            <w:vAlign w:val="bottom"/>
            <w:hideMark/>
          </w:tcPr>
          <w:p w:rsidR="00AB2A01" w:rsidRPr="00D2213C" w:rsidRDefault="00AB2A01" w:rsidP="00F14FBB">
            <w:pPr>
              <w:spacing w:after="0" w:line="240" w:lineRule="auto"/>
              <w:rPr>
                <w:rFonts w:ascii="Calibri" w:eastAsia="Times New Roman" w:hAnsi="Calibri" w:cs="Calibri"/>
                <w:b/>
                <w:bCs/>
                <w:i/>
                <w:iCs/>
                <w:color w:val="000000"/>
                <w:lang w:eastAsia="fr-FR"/>
              </w:rPr>
            </w:pPr>
            <w:r w:rsidRPr="00D2213C">
              <w:rPr>
                <w:rFonts w:ascii="Calibri" w:eastAsia="Times New Roman" w:hAnsi="Calibri" w:cs="Calibri"/>
                <w:b/>
                <w:bCs/>
                <w:i/>
                <w:iCs/>
                <w:color w:val="000000"/>
                <w:lang w:eastAsia="fr-FR"/>
              </w:rPr>
              <w:t>CLIC</w:t>
            </w:r>
          </w:p>
        </w:tc>
        <w:tc>
          <w:tcPr>
            <w:tcW w:w="1388"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41 447 € </w:t>
            </w:r>
          </w:p>
        </w:tc>
        <w:tc>
          <w:tcPr>
            <w:tcW w:w="1247"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45 149 € </w:t>
            </w:r>
          </w:p>
        </w:tc>
        <w:tc>
          <w:tcPr>
            <w:tcW w:w="1248"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51 522 € </w:t>
            </w:r>
          </w:p>
        </w:tc>
        <w:tc>
          <w:tcPr>
            <w:tcW w:w="1247"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48 088 € </w:t>
            </w:r>
          </w:p>
        </w:tc>
        <w:tc>
          <w:tcPr>
            <w:tcW w:w="1248"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61 368 € </w:t>
            </w:r>
          </w:p>
        </w:tc>
      </w:tr>
      <w:tr w:rsidR="00AB2A01" w:rsidRPr="00D2213C" w:rsidTr="00AB2A01">
        <w:trPr>
          <w:trHeight w:val="300"/>
        </w:trPr>
        <w:tc>
          <w:tcPr>
            <w:tcW w:w="2694" w:type="dxa"/>
            <w:tcBorders>
              <w:top w:val="nil"/>
              <w:left w:val="single" w:sz="4" w:space="0" w:color="auto"/>
              <w:bottom w:val="single" w:sz="4" w:space="0" w:color="auto"/>
              <w:right w:val="single" w:sz="4" w:space="0" w:color="auto"/>
            </w:tcBorders>
            <w:shd w:val="clear" w:color="000000" w:fill="BDD7EE"/>
            <w:noWrap/>
            <w:vAlign w:val="bottom"/>
            <w:hideMark/>
          </w:tcPr>
          <w:p w:rsidR="00AB2A01" w:rsidRPr="00D2213C" w:rsidRDefault="00AB2A01" w:rsidP="00F14FBB">
            <w:pPr>
              <w:spacing w:after="0" w:line="240" w:lineRule="auto"/>
              <w:rPr>
                <w:rFonts w:ascii="Calibri" w:eastAsia="Times New Roman" w:hAnsi="Calibri" w:cs="Calibri"/>
                <w:b/>
                <w:bCs/>
                <w:i/>
                <w:iCs/>
                <w:color w:val="000000"/>
                <w:lang w:eastAsia="fr-FR"/>
              </w:rPr>
            </w:pPr>
            <w:r w:rsidRPr="00D2213C">
              <w:rPr>
                <w:rFonts w:ascii="Calibri" w:eastAsia="Times New Roman" w:hAnsi="Calibri" w:cs="Calibri"/>
                <w:b/>
                <w:bCs/>
                <w:i/>
                <w:iCs/>
                <w:color w:val="000000"/>
                <w:lang w:eastAsia="fr-FR"/>
              </w:rPr>
              <w:t>OT</w:t>
            </w:r>
          </w:p>
        </w:tc>
        <w:tc>
          <w:tcPr>
            <w:tcW w:w="1388"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1 371 € </w:t>
            </w:r>
          </w:p>
        </w:tc>
        <w:tc>
          <w:tcPr>
            <w:tcW w:w="1247"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35 000 € </w:t>
            </w:r>
          </w:p>
        </w:tc>
        <w:tc>
          <w:tcPr>
            <w:tcW w:w="1248"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   € </w:t>
            </w:r>
          </w:p>
        </w:tc>
        <w:tc>
          <w:tcPr>
            <w:tcW w:w="1247"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   € </w:t>
            </w:r>
          </w:p>
        </w:tc>
        <w:tc>
          <w:tcPr>
            <w:tcW w:w="1248" w:type="dxa"/>
            <w:tcBorders>
              <w:top w:val="nil"/>
              <w:left w:val="nil"/>
              <w:bottom w:val="single" w:sz="4" w:space="0" w:color="auto"/>
              <w:right w:val="single" w:sz="4" w:space="0" w:color="auto"/>
            </w:tcBorders>
            <w:shd w:val="clear" w:color="auto" w:fill="auto"/>
            <w:noWrap/>
            <w:vAlign w:val="bottom"/>
            <w:hideMark/>
          </w:tcPr>
          <w:p w:rsidR="00AB2A01" w:rsidRPr="00D2213C" w:rsidRDefault="00AB2A01" w:rsidP="00F14FBB">
            <w:pPr>
              <w:spacing w:after="0" w:line="240" w:lineRule="auto"/>
              <w:jc w:val="right"/>
              <w:rPr>
                <w:rFonts w:ascii="Calibri" w:eastAsia="Times New Roman" w:hAnsi="Calibri" w:cs="Calibri"/>
                <w:color w:val="000000"/>
                <w:lang w:eastAsia="fr-FR"/>
              </w:rPr>
            </w:pPr>
            <w:r w:rsidRPr="00D2213C">
              <w:rPr>
                <w:rFonts w:ascii="Calibri" w:eastAsia="Times New Roman" w:hAnsi="Calibri" w:cs="Calibri"/>
                <w:color w:val="000000"/>
                <w:lang w:eastAsia="fr-FR"/>
              </w:rPr>
              <w:t xml:space="preserve">       -   € </w:t>
            </w:r>
          </w:p>
        </w:tc>
      </w:tr>
      <w:tr w:rsidR="00AB2A01" w:rsidRPr="00D2213C" w:rsidTr="00635644">
        <w:trPr>
          <w:trHeight w:val="300"/>
        </w:trPr>
        <w:tc>
          <w:tcPr>
            <w:tcW w:w="2694" w:type="dxa"/>
            <w:tcBorders>
              <w:top w:val="nil"/>
              <w:left w:val="single" w:sz="4" w:space="0" w:color="auto"/>
              <w:bottom w:val="nil"/>
              <w:right w:val="single" w:sz="4" w:space="0" w:color="auto"/>
            </w:tcBorders>
            <w:shd w:val="clear" w:color="000000" w:fill="FFFF00"/>
            <w:noWrap/>
            <w:vAlign w:val="bottom"/>
            <w:hideMark/>
          </w:tcPr>
          <w:p w:rsidR="00AB2A01" w:rsidRPr="00D2213C" w:rsidRDefault="00AB2A01" w:rsidP="00F14FBB">
            <w:pPr>
              <w:spacing w:after="0" w:line="240" w:lineRule="auto"/>
              <w:rPr>
                <w:rFonts w:ascii="Calibri" w:eastAsia="Times New Roman" w:hAnsi="Calibri" w:cs="Calibri"/>
                <w:b/>
                <w:bCs/>
                <w:i/>
                <w:iCs/>
                <w:color w:val="000000"/>
                <w:lang w:eastAsia="fr-FR"/>
              </w:rPr>
            </w:pPr>
            <w:r w:rsidRPr="00D2213C">
              <w:rPr>
                <w:rFonts w:ascii="Calibri" w:eastAsia="Times New Roman" w:hAnsi="Calibri" w:cs="Calibri"/>
                <w:b/>
                <w:bCs/>
                <w:i/>
                <w:iCs/>
                <w:color w:val="000000"/>
                <w:lang w:eastAsia="fr-FR"/>
              </w:rPr>
              <w:t>TOTAL</w:t>
            </w:r>
          </w:p>
        </w:tc>
        <w:tc>
          <w:tcPr>
            <w:tcW w:w="1388" w:type="dxa"/>
            <w:tcBorders>
              <w:top w:val="nil"/>
              <w:left w:val="nil"/>
              <w:bottom w:val="nil"/>
              <w:right w:val="single" w:sz="4" w:space="0" w:color="auto"/>
            </w:tcBorders>
            <w:shd w:val="clear" w:color="000000" w:fill="FFFF00"/>
            <w:noWrap/>
            <w:vAlign w:val="bottom"/>
            <w:hideMark/>
          </w:tcPr>
          <w:p w:rsidR="00AB2A01" w:rsidRPr="00D2213C" w:rsidRDefault="00AB2A01" w:rsidP="00F14FBB">
            <w:pPr>
              <w:spacing w:after="0" w:line="240" w:lineRule="auto"/>
              <w:jc w:val="right"/>
              <w:rPr>
                <w:rFonts w:ascii="Calibri" w:eastAsia="Times New Roman" w:hAnsi="Calibri" w:cs="Calibri"/>
                <w:b/>
                <w:bCs/>
                <w:color w:val="000000"/>
                <w:lang w:eastAsia="fr-FR"/>
              </w:rPr>
            </w:pPr>
            <w:r w:rsidRPr="00D2213C">
              <w:rPr>
                <w:rFonts w:ascii="Calibri" w:eastAsia="Times New Roman" w:hAnsi="Calibri" w:cs="Calibri"/>
                <w:b/>
                <w:bCs/>
                <w:color w:val="000000"/>
                <w:lang w:eastAsia="fr-FR"/>
              </w:rPr>
              <w:t xml:space="preserve">     </w:t>
            </w:r>
            <w:r w:rsidR="00635644">
              <w:rPr>
                <w:rFonts w:ascii="Calibri" w:eastAsia="Times New Roman" w:hAnsi="Calibri" w:cs="Calibri"/>
                <w:b/>
                <w:bCs/>
                <w:color w:val="000000"/>
                <w:lang w:eastAsia="fr-FR"/>
              </w:rPr>
              <w:t>619 485</w:t>
            </w:r>
            <w:r w:rsidRPr="00D2213C">
              <w:rPr>
                <w:rFonts w:ascii="Calibri" w:eastAsia="Times New Roman" w:hAnsi="Calibri" w:cs="Calibri"/>
                <w:b/>
                <w:bCs/>
                <w:color w:val="000000"/>
                <w:lang w:eastAsia="fr-FR"/>
              </w:rPr>
              <w:t xml:space="preserve"> € </w:t>
            </w:r>
          </w:p>
        </w:tc>
        <w:tc>
          <w:tcPr>
            <w:tcW w:w="1247" w:type="dxa"/>
            <w:tcBorders>
              <w:top w:val="nil"/>
              <w:left w:val="nil"/>
              <w:bottom w:val="nil"/>
              <w:right w:val="single" w:sz="4" w:space="0" w:color="auto"/>
            </w:tcBorders>
            <w:shd w:val="clear" w:color="000000" w:fill="FFFF00"/>
            <w:noWrap/>
            <w:vAlign w:val="bottom"/>
            <w:hideMark/>
          </w:tcPr>
          <w:p w:rsidR="00AB2A01" w:rsidRPr="00D2213C" w:rsidRDefault="00AB2A01" w:rsidP="00F14FBB">
            <w:pPr>
              <w:spacing w:after="0" w:line="240" w:lineRule="auto"/>
              <w:jc w:val="right"/>
              <w:rPr>
                <w:rFonts w:ascii="Calibri" w:eastAsia="Times New Roman" w:hAnsi="Calibri" w:cs="Calibri"/>
                <w:b/>
                <w:bCs/>
                <w:color w:val="000000"/>
                <w:lang w:eastAsia="fr-FR"/>
              </w:rPr>
            </w:pPr>
            <w:r w:rsidRPr="00D2213C">
              <w:rPr>
                <w:rFonts w:ascii="Calibri" w:eastAsia="Times New Roman" w:hAnsi="Calibri" w:cs="Calibri"/>
                <w:b/>
                <w:bCs/>
                <w:color w:val="000000"/>
                <w:lang w:eastAsia="fr-FR"/>
              </w:rPr>
              <w:t xml:space="preserve">    450 278 € </w:t>
            </w:r>
          </w:p>
        </w:tc>
        <w:tc>
          <w:tcPr>
            <w:tcW w:w="1248" w:type="dxa"/>
            <w:tcBorders>
              <w:top w:val="nil"/>
              <w:left w:val="nil"/>
              <w:bottom w:val="nil"/>
              <w:right w:val="single" w:sz="4" w:space="0" w:color="auto"/>
            </w:tcBorders>
            <w:shd w:val="clear" w:color="000000" w:fill="FFFF00"/>
            <w:noWrap/>
            <w:vAlign w:val="bottom"/>
            <w:hideMark/>
          </w:tcPr>
          <w:p w:rsidR="00AB2A01" w:rsidRPr="00D2213C" w:rsidRDefault="00AB2A01" w:rsidP="00F14FBB">
            <w:pPr>
              <w:spacing w:after="0" w:line="240" w:lineRule="auto"/>
              <w:jc w:val="right"/>
              <w:rPr>
                <w:rFonts w:ascii="Calibri" w:eastAsia="Times New Roman" w:hAnsi="Calibri" w:cs="Calibri"/>
                <w:b/>
                <w:bCs/>
                <w:color w:val="000000"/>
                <w:lang w:eastAsia="fr-FR"/>
              </w:rPr>
            </w:pPr>
            <w:r w:rsidRPr="00D2213C">
              <w:rPr>
                <w:rFonts w:ascii="Calibri" w:eastAsia="Times New Roman" w:hAnsi="Calibri" w:cs="Calibri"/>
                <w:b/>
                <w:bCs/>
                <w:color w:val="000000"/>
                <w:lang w:eastAsia="fr-FR"/>
              </w:rPr>
              <w:t xml:space="preserve">    613 067 € </w:t>
            </w:r>
          </w:p>
        </w:tc>
        <w:tc>
          <w:tcPr>
            <w:tcW w:w="1247" w:type="dxa"/>
            <w:tcBorders>
              <w:top w:val="nil"/>
              <w:left w:val="nil"/>
              <w:bottom w:val="nil"/>
              <w:right w:val="single" w:sz="4" w:space="0" w:color="auto"/>
            </w:tcBorders>
            <w:shd w:val="clear" w:color="000000" w:fill="FFFF00"/>
            <w:noWrap/>
            <w:vAlign w:val="bottom"/>
            <w:hideMark/>
          </w:tcPr>
          <w:p w:rsidR="00AB2A01" w:rsidRPr="00D2213C" w:rsidRDefault="00AB2A01" w:rsidP="00F14FBB">
            <w:pPr>
              <w:spacing w:after="0" w:line="240" w:lineRule="auto"/>
              <w:jc w:val="right"/>
              <w:rPr>
                <w:rFonts w:ascii="Calibri" w:eastAsia="Times New Roman" w:hAnsi="Calibri" w:cs="Calibri"/>
                <w:b/>
                <w:bCs/>
                <w:color w:val="000000"/>
                <w:lang w:eastAsia="fr-FR"/>
              </w:rPr>
            </w:pPr>
            <w:r w:rsidRPr="00D2213C">
              <w:rPr>
                <w:rFonts w:ascii="Calibri" w:eastAsia="Times New Roman" w:hAnsi="Calibri" w:cs="Calibri"/>
                <w:b/>
                <w:bCs/>
                <w:color w:val="000000"/>
                <w:lang w:eastAsia="fr-FR"/>
              </w:rPr>
              <w:t xml:space="preserve"> 546 815 € </w:t>
            </w:r>
          </w:p>
        </w:tc>
        <w:tc>
          <w:tcPr>
            <w:tcW w:w="1248" w:type="dxa"/>
            <w:tcBorders>
              <w:top w:val="nil"/>
              <w:left w:val="nil"/>
              <w:bottom w:val="nil"/>
              <w:right w:val="single" w:sz="4" w:space="0" w:color="auto"/>
            </w:tcBorders>
            <w:shd w:val="clear" w:color="000000" w:fill="FFFF00"/>
            <w:noWrap/>
            <w:vAlign w:val="bottom"/>
            <w:hideMark/>
          </w:tcPr>
          <w:p w:rsidR="00AB2A01" w:rsidRPr="00D2213C" w:rsidRDefault="00AB2A01" w:rsidP="00F14FBB">
            <w:pPr>
              <w:spacing w:after="0" w:line="240" w:lineRule="auto"/>
              <w:jc w:val="right"/>
              <w:rPr>
                <w:rFonts w:ascii="Calibri" w:eastAsia="Times New Roman" w:hAnsi="Calibri" w:cs="Calibri"/>
                <w:b/>
                <w:bCs/>
                <w:color w:val="000000"/>
                <w:lang w:eastAsia="fr-FR"/>
              </w:rPr>
            </w:pPr>
            <w:r w:rsidRPr="00D2213C">
              <w:rPr>
                <w:rFonts w:ascii="Calibri" w:eastAsia="Times New Roman" w:hAnsi="Calibri" w:cs="Calibri"/>
                <w:b/>
                <w:bCs/>
                <w:color w:val="000000"/>
                <w:lang w:eastAsia="fr-FR"/>
              </w:rPr>
              <w:t xml:space="preserve"> </w:t>
            </w:r>
            <w:r w:rsidR="00642DBB">
              <w:rPr>
                <w:rFonts w:ascii="Calibri" w:eastAsia="Times New Roman" w:hAnsi="Calibri" w:cs="Calibri"/>
                <w:b/>
                <w:bCs/>
                <w:color w:val="000000"/>
                <w:lang w:eastAsia="fr-FR"/>
              </w:rPr>
              <w:t>720</w:t>
            </w:r>
            <w:r w:rsidRPr="00D2213C">
              <w:rPr>
                <w:rFonts w:ascii="Calibri" w:eastAsia="Times New Roman" w:hAnsi="Calibri" w:cs="Calibri"/>
                <w:b/>
                <w:bCs/>
                <w:color w:val="000000"/>
                <w:lang w:eastAsia="fr-FR"/>
              </w:rPr>
              <w:t xml:space="preserve"> 761 € </w:t>
            </w:r>
          </w:p>
        </w:tc>
      </w:tr>
      <w:tr w:rsidR="00635644" w:rsidRPr="00D2213C" w:rsidTr="00AB2A01">
        <w:trPr>
          <w:trHeight w:val="300"/>
        </w:trPr>
        <w:tc>
          <w:tcPr>
            <w:tcW w:w="2694" w:type="dxa"/>
            <w:tcBorders>
              <w:top w:val="nil"/>
              <w:left w:val="single" w:sz="4" w:space="0" w:color="auto"/>
              <w:bottom w:val="single" w:sz="4" w:space="0" w:color="auto"/>
              <w:right w:val="single" w:sz="4" w:space="0" w:color="auto"/>
            </w:tcBorders>
            <w:shd w:val="clear" w:color="000000" w:fill="FFFF00"/>
            <w:noWrap/>
            <w:vAlign w:val="bottom"/>
          </w:tcPr>
          <w:p w:rsidR="00635644" w:rsidRPr="00D2213C" w:rsidRDefault="00635644" w:rsidP="00F14FBB">
            <w:pPr>
              <w:spacing w:after="0" w:line="240" w:lineRule="auto"/>
              <w:rPr>
                <w:rFonts w:ascii="Calibri" w:eastAsia="Times New Roman" w:hAnsi="Calibri" w:cs="Calibri"/>
                <w:b/>
                <w:bCs/>
                <w:i/>
                <w:iCs/>
                <w:color w:val="000000"/>
                <w:lang w:eastAsia="fr-FR"/>
              </w:rPr>
            </w:pPr>
            <w:r>
              <w:rPr>
                <w:rFonts w:ascii="Calibri" w:eastAsia="Times New Roman" w:hAnsi="Calibri" w:cs="Calibri"/>
                <w:b/>
                <w:bCs/>
                <w:i/>
                <w:iCs/>
                <w:color w:val="000000"/>
                <w:lang w:eastAsia="fr-FR"/>
              </w:rPr>
              <w:t>Total hors voile scolaire</w:t>
            </w:r>
          </w:p>
        </w:tc>
        <w:tc>
          <w:tcPr>
            <w:tcW w:w="1388" w:type="dxa"/>
            <w:tcBorders>
              <w:top w:val="nil"/>
              <w:left w:val="nil"/>
              <w:bottom w:val="single" w:sz="4" w:space="0" w:color="auto"/>
              <w:right w:val="single" w:sz="4" w:space="0" w:color="auto"/>
            </w:tcBorders>
            <w:shd w:val="clear" w:color="000000" w:fill="FFFF00"/>
            <w:noWrap/>
            <w:vAlign w:val="bottom"/>
          </w:tcPr>
          <w:p w:rsidR="00635644" w:rsidRPr="00D2213C" w:rsidRDefault="00635644" w:rsidP="00F14FBB">
            <w:pPr>
              <w:spacing w:after="0" w:line="240" w:lineRule="auto"/>
              <w:jc w:val="right"/>
              <w:rPr>
                <w:rFonts w:ascii="Calibri" w:eastAsia="Times New Roman" w:hAnsi="Calibri" w:cs="Calibri"/>
                <w:b/>
                <w:bCs/>
                <w:color w:val="000000"/>
                <w:lang w:eastAsia="fr-FR"/>
              </w:rPr>
            </w:pPr>
          </w:p>
        </w:tc>
        <w:tc>
          <w:tcPr>
            <w:tcW w:w="1247" w:type="dxa"/>
            <w:tcBorders>
              <w:top w:val="nil"/>
              <w:left w:val="nil"/>
              <w:bottom w:val="single" w:sz="4" w:space="0" w:color="auto"/>
              <w:right w:val="single" w:sz="4" w:space="0" w:color="auto"/>
            </w:tcBorders>
            <w:shd w:val="clear" w:color="000000" w:fill="FFFF00"/>
            <w:noWrap/>
            <w:vAlign w:val="bottom"/>
          </w:tcPr>
          <w:p w:rsidR="00635644" w:rsidRPr="00D2213C" w:rsidRDefault="00635644" w:rsidP="00F14FBB">
            <w:pPr>
              <w:spacing w:after="0" w:line="240" w:lineRule="auto"/>
              <w:jc w:val="right"/>
              <w:rPr>
                <w:rFonts w:ascii="Calibri" w:eastAsia="Times New Roman" w:hAnsi="Calibri" w:cs="Calibri"/>
                <w:b/>
                <w:bCs/>
                <w:color w:val="000000"/>
                <w:lang w:eastAsia="fr-FR"/>
              </w:rPr>
            </w:pPr>
          </w:p>
        </w:tc>
        <w:tc>
          <w:tcPr>
            <w:tcW w:w="1248" w:type="dxa"/>
            <w:tcBorders>
              <w:top w:val="nil"/>
              <w:left w:val="nil"/>
              <w:bottom w:val="single" w:sz="4" w:space="0" w:color="auto"/>
              <w:right w:val="single" w:sz="4" w:space="0" w:color="auto"/>
            </w:tcBorders>
            <w:shd w:val="clear" w:color="000000" w:fill="FFFF00"/>
            <w:noWrap/>
            <w:vAlign w:val="bottom"/>
          </w:tcPr>
          <w:p w:rsidR="00635644" w:rsidRPr="00D2213C" w:rsidRDefault="00635644" w:rsidP="00F14FBB">
            <w:pPr>
              <w:spacing w:after="0" w:line="240" w:lineRule="auto"/>
              <w:jc w:val="right"/>
              <w:rPr>
                <w:rFonts w:ascii="Calibri" w:eastAsia="Times New Roman" w:hAnsi="Calibri" w:cs="Calibri"/>
                <w:b/>
                <w:bCs/>
                <w:color w:val="000000"/>
                <w:lang w:eastAsia="fr-FR"/>
              </w:rPr>
            </w:pPr>
          </w:p>
        </w:tc>
        <w:tc>
          <w:tcPr>
            <w:tcW w:w="1247" w:type="dxa"/>
            <w:tcBorders>
              <w:top w:val="nil"/>
              <w:left w:val="nil"/>
              <w:bottom w:val="single" w:sz="4" w:space="0" w:color="auto"/>
              <w:right w:val="single" w:sz="4" w:space="0" w:color="auto"/>
            </w:tcBorders>
            <w:shd w:val="clear" w:color="000000" w:fill="FFFF00"/>
            <w:noWrap/>
            <w:vAlign w:val="bottom"/>
          </w:tcPr>
          <w:p w:rsidR="00635644" w:rsidRPr="00D2213C" w:rsidRDefault="00635644" w:rsidP="00F14FBB">
            <w:pPr>
              <w:spacing w:after="0" w:line="240" w:lineRule="auto"/>
              <w:jc w:val="right"/>
              <w:rPr>
                <w:rFonts w:ascii="Calibri" w:eastAsia="Times New Roman" w:hAnsi="Calibri" w:cs="Calibri"/>
                <w:b/>
                <w:bCs/>
                <w:color w:val="000000"/>
                <w:lang w:eastAsia="fr-FR"/>
              </w:rPr>
            </w:pPr>
          </w:p>
        </w:tc>
        <w:tc>
          <w:tcPr>
            <w:tcW w:w="1248" w:type="dxa"/>
            <w:tcBorders>
              <w:top w:val="nil"/>
              <w:left w:val="nil"/>
              <w:bottom w:val="single" w:sz="4" w:space="0" w:color="auto"/>
              <w:right w:val="single" w:sz="4" w:space="0" w:color="auto"/>
            </w:tcBorders>
            <w:shd w:val="clear" w:color="000000" w:fill="FFFF00"/>
            <w:noWrap/>
            <w:vAlign w:val="bottom"/>
          </w:tcPr>
          <w:p w:rsidR="00635644" w:rsidRPr="00D2213C" w:rsidRDefault="00635644" w:rsidP="00F14FBB">
            <w:pPr>
              <w:spacing w:after="0" w:line="240" w:lineRule="auto"/>
              <w:jc w:val="right"/>
              <w:rPr>
                <w:rFonts w:ascii="Calibri" w:eastAsia="Times New Roman" w:hAnsi="Calibri" w:cs="Calibri"/>
                <w:b/>
                <w:bCs/>
                <w:color w:val="000000"/>
                <w:lang w:eastAsia="fr-FR"/>
              </w:rPr>
            </w:pPr>
          </w:p>
        </w:tc>
      </w:tr>
    </w:tbl>
    <w:p w:rsidR="00B67581" w:rsidRDefault="00642DBB" w:rsidP="00AB2A01">
      <w:r w:rsidRPr="006C46A2">
        <w:t xml:space="preserve">L’augmentation est pour une partie non négligeable liée à la participation à la voile scolaire qui a été fortement revalorisée. </w:t>
      </w:r>
    </w:p>
    <w:p w:rsidR="00642DBB" w:rsidRPr="006C46A2" w:rsidRDefault="00B67581" w:rsidP="00AB2A01">
      <w:r>
        <w:t>La subvention d’équilibre budgétée pour 2024 pour l’EMI est globalement identique à celle de 2023 (311 K€).</w:t>
      </w:r>
    </w:p>
    <w:p w:rsidR="00635644" w:rsidRDefault="00635644" w:rsidP="00AB2A01">
      <w:pPr>
        <w:rPr>
          <w:color w:val="FF0000"/>
        </w:rPr>
      </w:pPr>
    </w:p>
    <w:p w:rsidR="002159CD" w:rsidRPr="00601B08" w:rsidRDefault="002159CD" w:rsidP="002159CD">
      <w:pPr>
        <w:pBdr>
          <w:top w:val="single" w:sz="4" w:space="1" w:color="auto"/>
          <w:left w:val="single" w:sz="4" w:space="4" w:color="auto"/>
          <w:bottom w:val="single" w:sz="4" w:space="1" w:color="auto"/>
          <w:right w:val="single" w:sz="4" w:space="4" w:color="auto"/>
        </w:pBdr>
        <w:rPr>
          <w:b/>
        </w:rPr>
      </w:pPr>
      <w:r>
        <w:rPr>
          <w:b/>
          <w:highlight w:val="green"/>
        </w:rPr>
        <w:t>BUDGET</w:t>
      </w:r>
      <w:r w:rsidRPr="001206CC">
        <w:rPr>
          <w:b/>
          <w:highlight w:val="green"/>
        </w:rPr>
        <w:t xml:space="preserve"> IMMOBILIER D’ENTREPRISES</w:t>
      </w:r>
    </w:p>
    <w:p w:rsidR="002159CD" w:rsidRDefault="002159CD" w:rsidP="002159CD">
      <w:pPr>
        <w:jc w:val="both"/>
      </w:pPr>
    </w:p>
    <w:p w:rsidR="002159CD" w:rsidRDefault="002159CD" w:rsidP="002159CD">
      <w:pPr>
        <w:jc w:val="both"/>
      </w:pPr>
      <w:r>
        <w:t>Pas d’affectation de résultat</w:t>
      </w:r>
    </w:p>
    <w:p w:rsidR="002159CD" w:rsidRDefault="002159CD" w:rsidP="002159CD">
      <w:pPr>
        <w:jc w:val="both"/>
      </w:pPr>
      <w:r>
        <w:t>Les principaux ajustements opérés dans le cadre de ce budget supplémentaire sont les suivants :</w:t>
      </w:r>
    </w:p>
    <w:p w:rsidR="002159CD" w:rsidRDefault="002159CD" w:rsidP="002159CD">
      <w:pPr>
        <w:pStyle w:val="Paragraphedeliste"/>
        <w:numPr>
          <w:ilvl w:val="0"/>
          <w:numId w:val="7"/>
        </w:numPr>
        <w:jc w:val="both"/>
      </w:pPr>
      <w:r>
        <w:t xml:space="preserve">Prise en compte d’une baisse du tarif de l’électricité (annonce de -24% du SDEF) mais en conservant une approche prudente. </w:t>
      </w:r>
    </w:p>
    <w:p w:rsidR="002159CD" w:rsidRDefault="002159CD" w:rsidP="002159CD">
      <w:pPr>
        <w:pStyle w:val="Paragraphedeliste"/>
        <w:numPr>
          <w:ilvl w:val="0"/>
          <w:numId w:val="7"/>
        </w:numPr>
        <w:jc w:val="both"/>
      </w:pPr>
      <w:r>
        <w:t xml:space="preserve">Sur l’article combustibles, forte augmentation observée en 2023 par rapport aux années précédentes. Pour 2024, le tarif du Gaz annoncé par le SDEF dans le cadre du marché conclu est de – 53%. </w:t>
      </w:r>
    </w:p>
    <w:p w:rsidR="002159CD" w:rsidRDefault="002159CD" w:rsidP="002159CD">
      <w:pPr>
        <w:pStyle w:val="Paragraphedeliste"/>
        <w:numPr>
          <w:ilvl w:val="0"/>
          <w:numId w:val="7"/>
        </w:numPr>
        <w:jc w:val="both"/>
      </w:pPr>
      <w:r>
        <w:t xml:space="preserve">Deux taxes foncières en 2024 pour Hangar Toul an </w:t>
      </w:r>
      <w:proofErr w:type="spellStart"/>
      <w:r>
        <w:t>Ibil</w:t>
      </w:r>
      <w:proofErr w:type="spellEnd"/>
      <w:r>
        <w:t xml:space="preserve"> (2 années) soit près de 6 K€ x2</w:t>
      </w:r>
    </w:p>
    <w:p w:rsidR="002159CD" w:rsidRDefault="002159CD" w:rsidP="002159CD">
      <w:pPr>
        <w:pStyle w:val="Paragraphedeliste"/>
        <w:numPr>
          <w:ilvl w:val="0"/>
          <w:numId w:val="7"/>
        </w:numPr>
        <w:jc w:val="both"/>
      </w:pPr>
      <w:r>
        <w:t xml:space="preserve">Enveloppe complémentaire sur les travaux en régie et refacturation fonctions supports. </w:t>
      </w:r>
    </w:p>
    <w:p w:rsidR="002159CD" w:rsidRDefault="002159CD" w:rsidP="002159CD">
      <w:pPr>
        <w:pStyle w:val="Paragraphedeliste"/>
        <w:numPr>
          <w:ilvl w:val="0"/>
          <w:numId w:val="7"/>
        </w:numPr>
        <w:jc w:val="both"/>
      </w:pPr>
      <w:r>
        <w:t>Inscription d’une provision pour risques à hauteur de 10 K€</w:t>
      </w:r>
    </w:p>
    <w:p w:rsidR="002159CD" w:rsidRDefault="002159CD" w:rsidP="002159CD"/>
    <w:p w:rsidR="002159CD" w:rsidRPr="00C94848" w:rsidRDefault="002159CD" w:rsidP="002159CD">
      <w:pPr>
        <w:pBdr>
          <w:top w:val="single" w:sz="4" w:space="1" w:color="auto"/>
          <w:left w:val="single" w:sz="4" w:space="4" w:color="auto"/>
          <w:bottom w:val="single" w:sz="4" w:space="1" w:color="auto"/>
          <w:right w:val="single" w:sz="4" w:space="4" w:color="auto"/>
        </w:pBdr>
        <w:rPr>
          <w:b/>
        </w:rPr>
      </w:pPr>
      <w:r w:rsidRPr="001206CC">
        <w:rPr>
          <w:b/>
          <w:highlight w:val="green"/>
        </w:rPr>
        <w:t>BUDGET</w:t>
      </w:r>
      <w:r>
        <w:rPr>
          <w:b/>
          <w:highlight w:val="green"/>
        </w:rPr>
        <w:t xml:space="preserve"> </w:t>
      </w:r>
      <w:r w:rsidRPr="00C94848">
        <w:rPr>
          <w:b/>
          <w:highlight w:val="green"/>
        </w:rPr>
        <w:t>DE ZONES</w:t>
      </w:r>
    </w:p>
    <w:p w:rsidR="002159CD" w:rsidRDefault="002159CD" w:rsidP="002159CD">
      <w:pPr>
        <w:jc w:val="both"/>
      </w:pPr>
      <w:r>
        <w:t xml:space="preserve">Ce budget répond à une logique de budgets de stocks (intégration du coût des achats de fonciers + travaux réalisés pour leur aménagement) et avec en face en recettes les prévisions de vente. </w:t>
      </w:r>
    </w:p>
    <w:p w:rsidR="002159CD" w:rsidRDefault="002159CD" w:rsidP="002159CD">
      <w:pPr>
        <w:jc w:val="both"/>
      </w:pPr>
      <w:r>
        <w:t xml:space="preserve">Il n’est pas besoin d’affectation de résultats, car il y a un report automatique en fonctionnement. Ce budget enregistre en 2023 un résultat global de clôture déficitaire de 1 202 291.29 €. La trésorerie de ce budget est assise sur celle du budget principal. </w:t>
      </w:r>
    </w:p>
    <w:p w:rsidR="002159CD" w:rsidRDefault="002159CD" w:rsidP="002159CD">
      <w:pPr>
        <w:jc w:val="both"/>
      </w:pPr>
      <w:r>
        <w:t>Les dépenses d’aménagement sont chiffrées dans le budget (idem PPI) à hauteur de 579 500 € dont achats de terrains</w:t>
      </w:r>
      <w:r w:rsidR="00004494">
        <w:t>.</w:t>
      </w:r>
    </w:p>
    <w:p w:rsidR="002159CD" w:rsidRDefault="002159CD" w:rsidP="002159CD">
      <w:pPr>
        <w:jc w:val="both"/>
      </w:pPr>
      <w:r>
        <w:t>Prévision de ventes à 893 K€ pour 2024 correspondant à une surface de 29 332 m². Ce budget prévoit le versement de subventions de DETR pour 354 K€. Autre recette pour équilibrer ce budget en investissement : l’emprunt d’équilibre évalué à 455 516 €.</w:t>
      </w:r>
    </w:p>
    <w:p w:rsidR="002159CD" w:rsidRDefault="002159CD" w:rsidP="002159CD">
      <w:r>
        <w:t xml:space="preserve">Ce budget est équilibré à hauteur de 4 846 709 € en section de fonctionnement et de 4 721 725 € en section d’investissement. </w:t>
      </w:r>
    </w:p>
    <w:p w:rsidR="002159CD" w:rsidRDefault="002159CD" w:rsidP="002159CD"/>
    <w:p w:rsidR="002159CD" w:rsidRPr="00080360" w:rsidRDefault="00080360" w:rsidP="00080360">
      <w:pPr>
        <w:pBdr>
          <w:top w:val="single" w:sz="4" w:space="1" w:color="auto"/>
          <w:left w:val="single" w:sz="4" w:space="4" w:color="auto"/>
          <w:bottom w:val="single" w:sz="4" w:space="1" w:color="auto"/>
          <w:right w:val="single" w:sz="4" w:space="4" w:color="auto"/>
        </w:pBdr>
        <w:rPr>
          <w:b/>
        </w:rPr>
      </w:pPr>
      <w:r w:rsidRPr="00080360">
        <w:rPr>
          <w:b/>
          <w:highlight w:val="green"/>
        </w:rPr>
        <w:t>AUTRES BUDGETS ANNEXES</w:t>
      </w:r>
    </w:p>
    <w:p w:rsidR="006A29CF" w:rsidRDefault="006A29CF" w:rsidP="002159CD"/>
    <w:p w:rsidR="006A29CF" w:rsidRPr="006A29CF" w:rsidRDefault="006A29CF" w:rsidP="00080360">
      <w:pPr>
        <w:rPr>
          <w:b/>
        </w:rPr>
      </w:pPr>
      <w:r w:rsidRPr="006A29CF">
        <w:rPr>
          <w:b/>
        </w:rPr>
        <w:t>Cf notes spécifiques</w:t>
      </w:r>
      <w:r w:rsidR="00080360">
        <w:rPr>
          <w:b/>
        </w:rPr>
        <w:t xml:space="preserve"> jointes au dossier</w:t>
      </w:r>
    </w:p>
    <w:p w:rsidR="004326AE" w:rsidRDefault="004326AE"/>
    <w:sectPr w:rsidR="004326AE">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704A" w:rsidRDefault="0070704A" w:rsidP="00E34F4B">
      <w:pPr>
        <w:spacing w:after="0" w:line="240" w:lineRule="auto"/>
      </w:pPr>
      <w:r>
        <w:separator/>
      </w:r>
    </w:p>
  </w:endnote>
  <w:endnote w:type="continuationSeparator" w:id="0">
    <w:p w:rsidR="0070704A" w:rsidRDefault="0070704A" w:rsidP="00E34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neva">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460742"/>
      <w:docPartObj>
        <w:docPartGallery w:val="Page Numbers (Bottom of Page)"/>
        <w:docPartUnique/>
      </w:docPartObj>
    </w:sdtPr>
    <w:sdtContent>
      <w:p w:rsidR="00F673FD" w:rsidRDefault="00F673FD">
        <w:pPr>
          <w:pStyle w:val="Pieddepage"/>
          <w:jc w:val="right"/>
        </w:pPr>
        <w:r>
          <w:fldChar w:fldCharType="begin"/>
        </w:r>
        <w:r>
          <w:instrText>PAGE   \* MERGEFORMAT</w:instrText>
        </w:r>
        <w:r>
          <w:fldChar w:fldCharType="separate"/>
        </w:r>
        <w:r>
          <w:rPr>
            <w:noProof/>
          </w:rPr>
          <w:t>20</w:t>
        </w:r>
        <w:r>
          <w:fldChar w:fldCharType="end"/>
        </w:r>
      </w:p>
    </w:sdtContent>
  </w:sdt>
  <w:p w:rsidR="00F673FD" w:rsidRDefault="00F673F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704A" w:rsidRDefault="0070704A" w:rsidP="00E34F4B">
      <w:pPr>
        <w:spacing w:after="0" w:line="240" w:lineRule="auto"/>
      </w:pPr>
      <w:r>
        <w:separator/>
      </w:r>
    </w:p>
  </w:footnote>
  <w:footnote w:type="continuationSeparator" w:id="0">
    <w:p w:rsidR="0070704A" w:rsidRDefault="0070704A" w:rsidP="00E34F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60DBA"/>
    <w:multiLevelType w:val="hybridMultilevel"/>
    <w:tmpl w:val="C6E8487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99E43CC"/>
    <w:multiLevelType w:val="hybridMultilevel"/>
    <w:tmpl w:val="6D829312"/>
    <w:lvl w:ilvl="0" w:tplc="AA24A38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0C07ADA"/>
    <w:multiLevelType w:val="hybridMultilevel"/>
    <w:tmpl w:val="FF1C94BE"/>
    <w:lvl w:ilvl="0" w:tplc="456228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89E3CAB"/>
    <w:multiLevelType w:val="hybridMultilevel"/>
    <w:tmpl w:val="3516ED1C"/>
    <w:lvl w:ilvl="0" w:tplc="F2B25FA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6A611C4"/>
    <w:multiLevelType w:val="hybridMultilevel"/>
    <w:tmpl w:val="E57085F6"/>
    <w:lvl w:ilvl="0" w:tplc="61383E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B5E2933"/>
    <w:multiLevelType w:val="hybridMultilevel"/>
    <w:tmpl w:val="274CE8B4"/>
    <w:lvl w:ilvl="0" w:tplc="803E34F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61CF01D8"/>
    <w:multiLevelType w:val="hybridMultilevel"/>
    <w:tmpl w:val="7B2A8F80"/>
    <w:lvl w:ilvl="0" w:tplc="C43E00DE">
      <w:start w:val="57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7F00577"/>
    <w:multiLevelType w:val="hybridMultilevel"/>
    <w:tmpl w:val="FF1C94BE"/>
    <w:lvl w:ilvl="0" w:tplc="456228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0"/>
  </w:num>
  <w:num w:numId="5">
    <w:abstractNumId w:val="7"/>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13C"/>
    <w:rsid w:val="00004494"/>
    <w:rsid w:val="00041D30"/>
    <w:rsid w:val="00050EC9"/>
    <w:rsid w:val="00072B13"/>
    <w:rsid w:val="00074BB6"/>
    <w:rsid w:val="00080360"/>
    <w:rsid w:val="000858D0"/>
    <w:rsid w:val="00086FAE"/>
    <w:rsid w:val="000D5986"/>
    <w:rsid w:val="000F35D1"/>
    <w:rsid w:val="00107955"/>
    <w:rsid w:val="0012172B"/>
    <w:rsid w:val="00121D3F"/>
    <w:rsid w:val="0016653C"/>
    <w:rsid w:val="00171FF1"/>
    <w:rsid w:val="001725D7"/>
    <w:rsid w:val="0017781B"/>
    <w:rsid w:val="00184521"/>
    <w:rsid w:val="001B760D"/>
    <w:rsid w:val="001C769B"/>
    <w:rsid w:val="001D5FC3"/>
    <w:rsid w:val="001E4346"/>
    <w:rsid w:val="002159CD"/>
    <w:rsid w:val="00223200"/>
    <w:rsid w:val="002270FE"/>
    <w:rsid w:val="00250DC8"/>
    <w:rsid w:val="00252341"/>
    <w:rsid w:val="00270581"/>
    <w:rsid w:val="00273D51"/>
    <w:rsid w:val="00280723"/>
    <w:rsid w:val="00287AD3"/>
    <w:rsid w:val="00294B7E"/>
    <w:rsid w:val="002A0837"/>
    <w:rsid w:val="002C0EA3"/>
    <w:rsid w:val="002D0278"/>
    <w:rsid w:val="00312721"/>
    <w:rsid w:val="00317748"/>
    <w:rsid w:val="00323999"/>
    <w:rsid w:val="00333D5D"/>
    <w:rsid w:val="00343FA7"/>
    <w:rsid w:val="003465C2"/>
    <w:rsid w:val="00360D1F"/>
    <w:rsid w:val="003844A6"/>
    <w:rsid w:val="003967D3"/>
    <w:rsid w:val="00397609"/>
    <w:rsid w:val="003A5973"/>
    <w:rsid w:val="003A7FCF"/>
    <w:rsid w:val="003B31F5"/>
    <w:rsid w:val="003C0BE2"/>
    <w:rsid w:val="003D1E67"/>
    <w:rsid w:val="003D4E5E"/>
    <w:rsid w:val="003E0C0D"/>
    <w:rsid w:val="0040406D"/>
    <w:rsid w:val="004319F1"/>
    <w:rsid w:val="004326AE"/>
    <w:rsid w:val="00455F5A"/>
    <w:rsid w:val="0048295B"/>
    <w:rsid w:val="004A0C6E"/>
    <w:rsid w:val="004C3968"/>
    <w:rsid w:val="004E6265"/>
    <w:rsid w:val="004F717D"/>
    <w:rsid w:val="00512A5D"/>
    <w:rsid w:val="00516032"/>
    <w:rsid w:val="005318B7"/>
    <w:rsid w:val="00531DD6"/>
    <w:rsid w:val="005322FF"/>
    <w:rsid w:val="005446D1"/>
    <w:rsid w:val="005530F3"/>
    <w:rsid w:val="005577FF"/>
    <w:rsid w:val="00563680"/>
    <w:rsid w:val="00593891"/>
    <w:rsid w:val="005A3ED3"/>
    <w:rsid w:val="005C5077"/>
    <w:rsid w:val="005D4012"/>
    <w:rsid w:val="005E1C78"/>
    <w:rsid w:val="006115E8"/>
    <w:rsid w:val="006239FF"/>
    <w:rsid w:val="00635644"/>
    <w:rsid w:val="006400EF"/>
    <w:rsid w:val="00642DBB"/>
    <w:rsid w:val="00643A11"/>
    <w:rsid w:val="006527C7"/>
    <w:rsid w:val="00680573"/>
    <w:rsid w:val="0068691C"/>
    <w:rsid w:val="006972CD"/>
    <w:rsid w:val="006A1BCC"/>
    <w:rsid w:val="006A29CF"/>
    <w:rsid w:val="006A6298"/>
    <w:rsid w:val="006B5D91"/>
    <w:rsid w:val="006B6F81"/>
    <w:rsid w:val="006C00C5"/>
    <w:rsid w:val="006C1AE1"/>
    <w:rsid w:val="006C20C4"/>
    <w:rsid w:val="006C4096"/>
    <w:rsid w:val="006C46A2"/>
    <w:rsid w:val="006D25D5"/>
    <w:rsid w:val="006F783E"/>
    <w:rsid w:val="0070704A"/>
    <w:rsid w:val="00714902"/>
    <w:rsid w:val="00720BEE"/>
    <w:rsid w:val="00721718"/>
    <w:rsid w:val="00737EEC"/>
    <w:rsid w:val="00746AB1"/>
    <w:rsid w:val="007604E6"/>
    <w:rsid w:val="007617E7"/>
    <w:rsid w:val="0076510A"/>
    <w:rsid w:val="00766995"/>
    <w:rsid w:val="00794C68"/>
    <w:rsid w:val="007E327C"/>
    <w:rsid w:val="00801532"/>
    <w:rsid w:val="008020D2"/>
    <w:rsid w:val="00803353"/>
    <w:rsid w:val="00810FB6"/>
    <w:rsid w:val="00830CA8"/>
    <w:rsid w:val="008336AB"/>
    <w:rsid w:val="00835F37"/>
    <w:rsid w:val="0084144B"/>
    <w:rsid w:val="008520C3"/>
    <w:rsid w:val="00867FD0"/>
    <w:rsid w:val="008C1AD2"/>
    <w:rsid w:val="008C66E5"/>
    <w:rsid w:val="008D1AC5"/>
    <w:rsid w:val="008F6EC6"/>
    <w:rsid w:val="009251F3"/>
    <w:rsid w:val="009504F1"/>
    <w:rsid w:val="0095438C"/>
    <w:rsid w:val="00957FF8"/>
    <w:rsid w:val="00981A6F"/>
    <w:rsid w:val="00981AB4"/>
    <w:rsid w:val="00991D84"/>
    <w:rsid w:val="009B4537"/>
    <w:rsid w:val="009D2F6A"/>
    <w:rsid w:val="009E7EA9"/>
    <w:rsid w:val="009F6AE8"/>
    <w:rsid w:val="00A079E4"/>
    <w:rsid w:val="00A13E1B"/>
    <w:rsid w:val="00A14641"/>
    <w:rsid w:val="00A32F10"/>
    <w:rsid w:val="00A43F19"/>
    <w:rsid w:val="00A76AEA"/>
    <w:rsid w:val="00A839BF"/>
    <w:rsid w:val="00A93860"/>
    <w:rsid w:val="00A94B9B"/>
    <w:rsid w:val="00AA5EDB"/>
    <w:rsid w:val="00AB2608"/>
    <w:rsid w:val="00AB2A01"/>
    <w:rsid w:val="00AB4C14"/>
    <w:rsid w:val="00AE5830"/>
    <w:rsid w:val="00AE6443"/>
    <w:rsid w:val="00AE700E"/>
    <w:rsid w:val="00AE721E"/>
    <w:rsid w:val="00B01475"/>
    <w:rsid w:val="00B2218D"/>
    <w:rsid w:val="00B434B0"/>
    <w:rsid w:val="00B635F9"/>
    <w:rsid w:val="00B67581"/>
    <w:rsid w:val="00B71346"/>
    <w:rsid w:val="00B7429F"/>
    <w:rsid w:val="00BB12BE"/>
    <w:rsid w:val="00BD0FE3"/>
    <w:rsid w:val="00BD13CD"/>
    <w:rsid w:val="00BE0EB8"/>
    <w:rsid w:val="00BE3DCA"/>
    <w:rsid w:val="00BF00FC"/>
    <w:rsid w:val="00C57BD9"/>
    <w:rsid w:val="00C87CB9"/>
    <w:rsid w:val="00CA36B0"/>
    <w:rsid w:val="00CB4546"/>
    <w:rsid w:val="00CC425A"/>
    <w:rsid w:val="00CF40E9"/>
    <w:rsid w:val="00D030AA"/>
    <w:rsid w:val="00D16745"/>
    <w:rsid w:val="00D16D41"/>
    <w:rsid w:val="00D2213C"/>
    <w:rsid w:val="00D2579E"/>
    <w:rsid w:val="00D66613"/>
    <w:rsid w:val="00D6785D"/>
    <w:rsid w:val="00D85913"/>
    <w:rsid w:val="00D94DC4"/>
    <w:rsid w:val="00E27BA4"/>
    <w:rsid w:val="00E3077B"/>
    <w:rsid w:val="00E30D1A"/>
    <w:rsid w:val="00E33CB2"/>
    <w:rsid w:val="00E34F4B"/>
    <w:rsid w:val="00E43A55"/>
    <w:rsid w:val="00E6163E"/>
    <w:rsid w:val="00E71A9F"/>
    <w:rsid w:val="00EA6B55"/>
    <w:rsid w:val="00F12138"/>
    <w:rsid w:val="00F14FBB"/>
    <w:rsid w:val="00F1675F"/>
    <w:rsid w:val="00F23665"/>
    <w:rsid w:val="00F26D78"/>
    <w:rsid w:val="00F34194"/>
    <w:rsid w:val="00F3661A"/>
    <w:rsid w:val="00F47BF7"/>
    <w:rsid w:val="00F61297"/>
    <w:rsid w:val="00F673FD"/>
    <w:rsid w:val="00F77EB3"/>
    <w:rsid w:val="00F975D8"/>
    <w:rsid w:val="00FB52C7"/>
    <w:rsid w:val="00FC04FB"/>
    <w:rsid w:val="00FD2FE3"/>
    <w:rsid w:val="00FE30A4"/>
    <w:rsid w:val="00FE32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CB8C48-D78E-43F6-9152-0F2363173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0C6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50EC9"/>
    <w:pPr>
      <w:ind w:left="720"/>
      <w:contextualSpacing/>
    </w:pPr>
  </w:style>
  <w:style w:type="paragraph" w:customStyle="1" w:styleId="CorpsdetexteMsoNormal">
    <w:name w:val="Corps de texte.MsoNormal"/>
    <w:basedOn w:val="Corpsdetexte"/>
    <w:rsid w:val="004326AE"/>
    <w:pPr>
      <w:widowControl w:val="0"/>
      <w:suppressAutoHyphens/>
      <w:spacing w:after="140" w:line="288" w:lineRule="auto"/>
    </w:pPr>
    <w:rPr>
      <w:rFonts w:ascii="Arial" w:eastAsia="SimSun" w:hAnsi="Arial" w:cs="Mangal"/>
      <w:kern w:val="2"/>
      <w:szCs w:val="24"/>
      <w:lang w:eastAsia="zh-CN" w:bidi="hi-IN"/>
    </w:rPr>
  </w:style>
  <w:style w:type="paragraph" w:styleId="Corpsdetexte">
    <w:name w:val="Body Text"/>
    <w:basedOn w:val="Normal"/>
    <w:link w:val="CorpsdetexteCar"/>
    <w:uiPriority w:val="99"/>
    <w:semiHidden/>
    <w:unhideWhenUsed/>
    <w:rsid w:val="004326AE"/>
    <w:pPr>
      <w:spacing w:after="120"/>
    </w:pPr>
  </w:style>
  <w:style w:type="character" w:customStyle="1" w:styleId="CorpsdetexteCar">
    <w:name w:val="Corps de texte Car"/>
    <w:basedOn w:val="Policepardfaut"/>
    <w:link w:val="Corpsdetexte"/>
    <w:uiPriority w:val="99"/>
    <w:semiHidden/>
    <w:rsid w:val="004326AE"/>
  </w:style>
  <w:style w:type="paragraph" w:customStyle="1" w:styleId="western">
    <w:name w:val="western"/>
    <w:basedOn w:val="Normal"/>
    <w:rsid w:val="002D0278"/>
    <w:pPr>
      <w:spacing w:before="100" w:beforeAutospacing="1" w:after="142" w:line="288" w:lineRule="auto"/>
      <w:jc w:val="both"/>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E34F4B"/>
    <w:pPr>
      <w:tabs>
        <w:tab w:val="center" w:pos="4536"/>
        <w:tab w:val="right" w:pos="9072"/>
      </w:tabs>
      <w:spacing w:after="0" w:line="240" w:lineRule="auto"/>
    </w:pPr>
  </w:style>
  <w:style w:type="character" w:customStyle="1" w:styleId="En-tteCar">
    <w:name w:val="En-tête Car"/>
    <w:basedOn w:val="Policepardfaut"/>
    <w:link w:val="En-tte"/>
    <w:uiPriority w:val="99"/>
    <w:rsid w:val="00E34F4B"/>
  </w:style>
  <w:style w:type="paragraph" w:styleId="Pieddepage">
    <w:name w:val="footer"/>
    <w:basedOn w:val="Normal"/>
    <w:link w:val="PieddepageCar"/>
    <w:uiPriority w:val="99"/>
    <w:unhideWhenUsed/>
    <w:rsid w:val="00E34F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4F4B"/>
  </w:style>
  <w:style w:type="table" w:styleId="Grilledutableau">
    <w:name w:val="Table Grid"/>
    <w:basedOn w:val="TableauNormal"/>
    <w:uiPriority w:val="39"/>
    <w:rsid w:val="00D67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7AD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A1464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146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27">
      <w:bodyDiv w:val="1"/>
      <w:marLeft w:val="0"/>
      <w:marRight w:val="0"/>
      <w:marTop w:val="0"/>
      <w:marBottom w:val="0"/>
      <w:divBdr>
        <w:top w:val="none" w:sz="0" w:space="0" w:color="auto"/>
        <w:left w:val="none" w:sz="0" w:space="0" w:color="auto"/>
        <w:bottom w:val="none" w:sz="0" w:space="0" w:color="auto"/>
        <w:right w:val="none" w:sz="0" w:space="0" w:color="auto"/>
      </w:divBdr>
    </w:div>
    <w:div w:id="71247299">
      <w:bodyDiv w:val="1"/>
      <w:marLeft w:val="0"/>
      <w:marRight w:val="0"/>
      <w:marTop w:val="0"/>
      <w:marBottom w:val="0"/>
      <w:divBdr>
        <w:top w:val="none" w:sz="0" w:space="0" w:color="auto"/>
        <w:left w:val="none" w:sz="0" w:space="0" w:color="auto"/>
        <w:bottom w:val="none" w:sz="0" w:space="0" w:color="auto"/>
        <w:right w:val="none" w:sz="0" w:space="0" w:color="auto"/>
      </w:divBdr>
    </w:div>
    <w:div w:id="97336614">
      <w:bodyDiv w:val="1"/>
      <w:marLeft w:val="0"/>
      <w:marRight w:val="0"/>
      <w:marTop w:val="0"/>
      <w:marBottom w:val="0"/>
      <w:divBdr>
        <w:top w:val="none" w:sz="0" w:space="0" w:color="auto"/>
        <w:left w:val="none" w:sz="0" w:space="0" w:color="auto"/>
        <w:bottom w:val="none" w:sz="0" w:space="0" w:color="auto"/>
        <w:right w:val="none" w:sz="0" w:space="0" w:color="auto"/>
      </w:divBdr>
    </w:div>
    <w:div w:id="112137516">
      <w:bodyDiv w:val="1"/>
      <w:marLeft w:val="0"/>
      <w:marRight w:val="0"/>
      <w:marTop w:val="0"/>
      <w:marBottom w:val="0"/>
      <w:divBdr>
        <w:top w:val="none" w:sz="0" w:space="0" w:color="auto"/>
        <w:left w:val="none" w:sz="0" w:space="0" w:color="auto"/>
        <w:bottom w:val="none" w:sz="0" w:space="0" w:color="auto"/>
        <w:right w:val="none" w:sz="0" w:space="0" w:color="auto"/>
      </w:divBdr>
    </w:div>
    <w:div w:id="145317189">
      <w:bodyDiv w:val="1"/>
      <w:marLeft w:val="0"/>
      <w:marRight w:val="0"/>
      <w:marTop w:val="0"/>
      <w:marBottom w:val="0"/>
      <w:divBdr>
        <w:top w:val="none" w:sz="0" w:space="0" w:color="auto"/>
        <w:left w:val="none" w:sz="0" w:space="0" w:color="auto"/>
        <w:bottom w:val="none" w:sz="0" w:space="0" w:color="auto"/>
        <w:right w:val="none" w:sz="0" w:space="0" w:color="auto"/>
      </w:divBdr>
    </w:div>
    <w:div w:id="153109446">
      <w:bodyDiv w:val="1"/>
      <w:marLeft w:val="0"/>
      <w:marRight w:val="0"/>
      <w:marTop w:val="0"/>
      <w:marBottom w:val="0"/>
      <w:divBdr>
        <w:top w:val="none" w:sz="0" w:space="0" w:color="auto"/>
        <w:left w:val="none" w:sz="0" w:space="0" w:color="auto"/>
        <w:bottom w:val="none" w:sz="0" w:space="0" w:color="auto"/>
        <w:right w:val="none" w:sz="0" w:space="0" w:color="auto"/>
      </w:divBdr>
    </w:div>
    <w:div w:id="181745500">
      <w:bodyDiv w:val="1"/>
      <w:marLeft w:val="0"/>
      <w:marRight w:val="0"/>
      <w:marTop w:val="0"/>
      <w:marBottom w:val="0"/>
      <w:divBdr>
        <w:top w:val="none" w:sz="0" w:space="0" w:color="auto"/>
        <w:left w:val="none" w:sz="0" w:space="0" w:color="auto"/>
        <w:bottom w:val="none" w:sz="0" w:space="0" w:color="auto"/>
        <w:right w:val="none" w:sz="0" w:space="0" w:color="auto"/>
      </w:divBdr>
    </w:div>
    <w:div w:id="311061748">
      <w:bodyDiv w:val="1"/>
      <w:marLeft w:val="0"/>
      <w:marRight w:val="0"/>
      <w:marTop w:val="0"/>
      <w:marBottom w:val="0"/>
      <w:divBdr>
        <w:top w:val="none" w:sz="0" w:space="0" w:color="auto"/>
        <w:left w:val="none" w:sz="0" w:space="0" w:color="auto"/>
        <w:bottom w:val="none" w:sz="0" w:space="0" w:color="auto"/>
        <w:right w:val="none" w:sz="0" w:space="0" w:color="auto"/>
      </w:divBdr>
    </w:div>
    <w:div w:id="381949594">
      <w:bodyDiv w:val="1"/>
      <w:marLeft w:val="0"/>
      <w:marRight w:val="0"/>
      <w:marTop w:val="0"/>
      <w:marBottom w:val="0"/>
      <w:divBdr>
        <w:top w:val="none" w:sz="0" w:space="0" w:color="auto"/>
        <w:left w:val="none" w:sz="0" w:space="0" w:color="auto"/>
        <w:bottom w:val="none" w:sz="0" w:space="0" w:color="auto"/>
        <w:right w:val="none" w:sz="0" w:space="0" w:color="auto"/>
      </w:divBdr>
    </w:div>
    <w:div w:id="452141423">
      <w:bodyDiv w:val="1"/>
      <w:marLeft w:val="0"/>
      <w:marRight w:val="0"/>
      <w:marTop w:val="0"/>
      <w:marBottom w:val="0"/>
      <w:divBdr>
        <w:top w:val="none" w:sz="0" w:space="0" w:color="auto"/>
        <w:left w:val="none" w:sz="0" w:space="0" w:color="auto"/>
        <w:bottom w:val="none" w:sz="0" w:space="0" w:color="auto"/>
        <w:right w:val="none" w:sz="0" w:space="0" w:color="auto"/>
      </w:divBdr>
    </w:div>
    <w:div w:id="624509290">
      <w:bodyDiv w:val="1"/>
      <w:marLeft w:val="0"/>
      <w:marRight w:val="0"/>
      <w:marTop w:val="0"/>
      <w:marBottom w:val="0"/>
      <w:divBdr>
        <w:top w:val="none" w:sz="0" w:space="0" w:color="auto"/>
        <w:left w:val="none" w:sz="0" w:space="0" w:color="auto"/>
        <w:bottom w:val="none" w:sz="0" w:space="0" w:color="auto"/>
        <w:right w:val="none" w:sz="0" w:space="0" w:color="auto"/>
      </w:divBdr>
    </w:div>
    <w:div w:id="633679856">
      <w:bodyDiv w:val="1"/>
      <w:marLeft w:val="0"/>
      <w:marRight w:val="0"/>
      <w:marTop w:val="0"/>
      <w:marBottom w:val="0"/>
      <w:divBdr>
        <w:top w:val="none" w:sz="0" w:space="0" w:color="auto"/>
        <w:left w:val="none" w:sz="0" w:space="0" w:color="auto"/>
        <w:bottom w:val="none" w:sz="0" w:space="0" w:color="auto"/>
        <w:right w:val="none" w:sz="0" w:space="0" w:color="auto"/>
      </w:divBdr>
    </w:div>
    <w:div w:id="684212603">
      <w:bodyDiv w:val="1"/>
      <w:marLeft w:val="0"/>
      <w:marRight w:val="0"/>
      <w:marTop w:val="0"/>
      <w:marBottom w:val="0"/>
      <w:divBdr>
        <w:top w:val="none" w:sz="0" w:space="0" w:color="auto"/>
        <w:left w:val="none" w:sz="0" w:space="0" w:color="auto"/>
        <w:bottom w:val="none" w:sz="0" w:space="0" w:color="auto"/>
        <w:right w:val="none" w:sz="0" w:space="0" w:color="auto"/>
      </w:divBdr>
    </w:div>
    <w:div w:id="688027487">
      <w:bodyDiv w:val="1"/>
      <w:marLeft w:val="0"/>
      <w:marRight w:val="0"/>
      <w:marTop w:val="0"/>
      <w:marBottom w:val="0"/>
      <w:divBdr>
        <w:top w:val="none" w:sz="0" w:space="0" w:color="auto"/>
        <w:left w:val="none" w:sz="0" w:space="0" w:color="auto"/>
        <w:bottom w:val="none" w:sz="0" w:space="0" w:color="auto"/>
        <w:right w:val="none" w:sz="0" w:space="0" w:color="auto"/>
      </w:divBdr>
    </w:div>
    <w:div w:id="745107054">
      <w:bodyDiv w:val="1"/>
      <w:marLeft w:val="0"/>
      <w:marRight w:val="0"/>
      <w:marTop w:val="0"/>
      <w:marBottom w:val="0"/>
      <w:divBdr>
        <w:top w:val="none" w:sz="0" w:space="0" w:color="auto"/>
        <w:left w:val="none" w:sz="0" w:space="0" w:color="auto"/>
        <w:bottom w:val="none" w:sz="0" w:space="0" w:color="auto"/>
        <w:right w:val="none" w:sz="0" w:space="0" w:color="auto"/>
      </w:divBdr>
    </w:div>
    <w:div w:id="751581484">
      <w:bodyDiv w:val="1"/>
      <w:marLeft w:val="0"/>
      <w:marRight w:val="0"/>
      <w:marTop w:val="0"/>
      <w:marBottom w:val="0"/>
      <w:divBdr>
        <w:top w:val="none" w:sz="0" w:space="0" w:color="auto"/>
        <w:left w:val="none" w:sz="0" w:space="0" w:color="auto"/>
        <w:bottom w:val="none" w:sz="0" w:space="0" w:color="auto"/>
        <w:right w:val="none" w:sz="0" w:space="0" w:color="auto"/>
      </w:divBdr>
    </w:div>
    <w:div w:id="892350271">
      <w:bodyDiv w:val="1"/>
      <w:marLeft w:val="0"/>
      <w:marRight w:val="0"/>
      <w:marTop w:val="0"/>
      <w:marBottom w:val="0"/>
      <w:divBdr>
        <w:top w:val="none" w:sz="0" w:space="0" w:color="auto"/>
        <w:left w:val="none" w:sz="0" w:space="0" w:color="auto"/>
        <w:bottom w:val="none" w:sz="0" w:space="0" w:color="auto"/>
        <w:right w:val="none" w:sz="0" w:space="0" w:color="auto"/>
      </w:divBdr>
    </w:div>
    <w:div w:id="951936407">
      <w:bodyDiv w:val="1"/>
      <w:marLeft w:val="0"/>
      <w:marRight w:val="0"/>
      <w:marTop w:val="0"/>
      <w:marBottom w:val="0"/>
      <w:divBdr>
        <w:top w:val="none" w:sz="0" w:space="0" w:color="auto"/>
        <w:left w:val="none" w:sz="0" w:space="0" w:color="auto"/>
        <w:bottom w:val="none" w:sz="0" w:space="0" w:color="auto"/>
        <w:right w:val="none" w:sz="0" w:space="0" w:color="auto"/>
      </w:divBdr>
    </w:div>
    <w:div w:id="1001930556">
      <w:bodyDiv w:val="1"/>
      <w:marLeft w:val="0"/>
      <w:marRight w:val="0"/>
      <w:marTop w:val="0"/>
      <w:marBottom w:val="0"/>
      <w:divBdr>
        <w:top w:val="none" w:sz="0" w:space="0" w:color="auto"/>
        <w:left w:val="none" w:sz="0" w:space="0" w:color="auto"/>
        <w:bottom w:val="none" w:sz="0" w:space="0" w:color="auto"/>
        <w:right w:val="none" w:sz="0" w:space="0" w:color="auto"/>
      </w:divBdr>
    </w:div>
    <w:div w:id="1058747290">
      <w:bodyDiv w:val="1"/>
      <w:marLeft w:val="0"/>
      <w:marRight w:val="0"/>
      <w:marTop w:val="0"/>
      <w:marBottom w:val="0"/>
      <w:divBdr>
        <w:top w:val="none" w:sz="0" w:space="0" w:color="auto"/>
        <w:left w:val="none" w:sz="0" w:space="0" w:color="auto"/>
        <w:bottom w:val="none" w:sz="0" w:space="0" w:color="auto"/>
        <w:right w:val="none" w:sz="0" w:space="0" w:color="auto"/>
      </w:divBdr>
    </w:div>
    <w:div w:id="1236360243">
      <w:bodyDiv w:val="1"/>
      <w:marLeft w:val="0"/>
      <w:marRight w:val="0"/>
      <w:marTop w:val="0"/>
      <w:marBottom w:val="0"/>
      <w:divBdr>
        <w:top w:val="none" w:sz="0" w:space="0" w:color="auto"/>
        <w:left w:val="none" w:sz="0" w:space="0" w:color="auto"/>
        <w:bottom w:val="none" w:sz="0" w:space="0" w:color="auto"/>
        <w:right w:val="none" w:sz="0" w:space="0" w:color="auto"/>
      </w:divBdr>
    </w:div>
    <w:div w:id="1255439609">
      <w:bodyDiv w:val="1"/>
      <w:marLeft w:val="0"/>
      <w:marRight w:val="0"/>
      <w:marTop w:val="0"/>
      <w:marBottom w:val="0"/>
      <w:divBdr>
        <w:top w:val="none" w:sz="0" w:space="0" w:color="auto"/>
        <w:left w:val="none" w:sz="0" w:space="0" w:color="auto"/>
        <w:bottom w:val="none" w:sz="0" w:space="0" w:color="auto"/>
        <w:right w:val="none" w:sz="0" w:space="0" w:color="auto"/>
      </w:divBdr>
    </w:div>
    <w:div w:id="1262836331">
      <w:bodyDiv w:val="1"/>
      <w:marLeft w:val="0"/>
      <w:marRight w:val="0"/>
      <w:marTop w:val="0"/>
      <w:marBottom w:val="0"/>
      <w:divBdr>
        <w:top w:val="none" w:sz="0" w:space="0" w:color="auto"/>
        <w:left w:val="none" w:sz="0" w:space="0" w:color="auto"/>
        <w:bottom w:val="none" w:sz="0" w:space="0" w:color="auto"/>
        <w:right w:val="none" w:sz="0" w:space="0" w:color="auto"/>
      </w:divBdr>
    </w:div>
    <w:div w:id="1273897870">
      <w:bodyDiv w:val="1"/>
      <w:marLeft w:val="0"/>
      <w:marRight w:val="0"/>
      <w:marTop w:val="0"/>
      <w:marBottom w:val="0"/>
      <w:divBdr>
        <w:top w:val="none" w:sz="0" w:space="0" w:color="auto"/>
        <w:left w:val="none" w:sz="0" w:space="0" w:color="auto"/>
        <w:bottom w:val="none" w:sz="0" w:space="0" w:color="auto"/>
        <w:right w:val="none" w:sz="0" w:space="0" w:color="auto"/>
      </w:divBdr>
    </w:div>
    <w:div w:id="1369405427">
      <w:bodyDiv w:val="1"/>
      <w:marLeft w:val="0"/>
      <w:marRight w:val="0"/>
      <w:marTop w:val="0"/>
      <w:marBottom w:val="0"/>
      <w:divBdr>
        <w:top w:val="none" w:sz="0" w:space="0" w:color="auto"/>
        <w:left w:val="none" w:sz="0" w:space="0" w:color="auto"/>
        <w:bottom w:val="none" w:sz="0" w:space="0" w:color="auto"/>
        <w:right w:val="none" w:sz="0" w:space="0" w:color="auto"/>
      </w:divBdr>
    </w:div>
    <w:div w:id="1456099439">
      <w:bodyDiv w:val="1"/>
      <w:marLeft w:val="0"/>
      <w:marRight w:val="0"/>
      <w:marTop w:val="0"/>
      <w:marBottom w:val="0"/>
      <w:divBdr>
        <w:top w:val="none" w:sz="0" w:space="0" w:color="auto"/>
        <w:left w:val="none" w:sz="0" w:space="0" w:color="auto"/>
        <w:bottom w:val="none" w:sz="0" w:space="0" w:color="auto"/>
        <w:right w:val="none" w:sz="0" w:space="0" w:color="auto"/>
      </w:divBdr>
    </w:div>
    <w:div w:id="1480270474">
      <w:bodyDiv w:val="1"/>
      <w:marLeft w:val="0"/>
      <w:marRight w:val="0"/>
      <w:marTop w:val="0"/>
      <w:marBottom w:val="0"/>
      <w:divBdr>
        <w:top w:val="none" w:sz="0" w:space="0" w:color="auto"/>
        <w:left w:val="none" w:sz="0" w:space="0" w:color="auto"/>
        <w:bottom w:val="none" w:sz="0" w:space="0" w:color="auto"/>
        <w:right w:val="none" w:sz="0" w:space="0" w:color="auto"/>
      </w:divBdr>
    </w:div>
    <w:div w:id="1702366049">
      <w:bodyDiv w:val="1"/>
      <w:marLeft w:val="0"/>
      <w:marRight w:val="0"/>
      <w:marTop w:val="0"/>
      <w:marBottom w:val="0"/>
      <w:divBdr>
        <w:top w:val="none" w:sz="0" w:space="0" w:color="auto"/>
        <w:left w:val="none" w:sz="0" w:space="0" w:color="auto"/>
        <w:bottom w:val="none" w:sz="0" w:space="0" w:color="auto"/>
        <w:right w:val="none" w:sz="0" w:space="0" w:color="auto"/>
      </w:divBdr>
    </w:div>
    <w:div w:id="1734817652">
      <w:bodyDiv w:val="1"/>
      <w:marLeft w:val="0"/>
      <w:marRight w:val="0"/>
      <w:marTop w:val="0"/>
      <w:marBottom w:val="0"/>
      <w:divBdr>
        <w:top w:val="none" w:sz="0" w:space="0" w:color="auto"/>
        <w:left w:val="none" w:sz="0" w:space="0" w:color="auto"/>
        <w:bottom w:val="none" w:sz="0" w:space="0" w:color="auto"/>
        <w:right w:val="none" w:sz="0" w:space="0" w:color="auto"/>
      </w:divBdr>
    </w:div>
    <w:div w:id="1766919921">
      <w:bodyDiv w:val="1"/>
      <w:marLeft w:val="0"/>
      <w:marRight w:val="0"/>
      <w:marTop w:val="0"/>
      <w:marBottom w:val="0"/>
      <w:divBdr>
        <w:top w:val="none" w:sz="0" w:space="0" w:color="auto"/>
        <w:left w:val="none" w:sz="0" w:space="0" w:color="auto"/>
        <w:bottom w:val="none" w:sz="0" w:space="0" w:color="auto"/>
        <w:right w:val="none" w:sz="0" w:space="0" w:color="auto"/>
      </w:divBdr>
    </w:div>
    <w:div w:id="1892034141">
      <w:bodyDiv w:val="1"/>
      <w:marLeft w:val="0"/>
      <w:marRight w:val="0"/>
      <w:marTop w:val="0"/>
      <w:marBottom w:val="0"/>
      <w:divBdr>
        <w:top w:val="none" w:sz="0" w:space="0" w:color="auto"/>
        <w:left w:val="none" w:sz="0" w:space="0" w:color="auto"/>
        <w:bottom w:val="none" w:sz="0" w:space="0" w:color="auto"/>
        <w:right w:val="none" w:sz="0" w:space="0" w:color="auto"/>
      </w:divBdr>
    </w:div>
    <w:div w:id="1934703004">
      <w:bodyDiv w:val="1"/>
      <w:marLeft w:val="0"/>
      <w:marRight w:val="0"/>
      <w:marTop w:val="0"/>
      <w:marBottom w:val="0"/>
      <w:divBdr>
        <w:top w:val="none" w:sz="0" w:space="0" w:color="auto"/>
        <w:left w:val="none" w:sz="0" w:space="0" w:color="auto"/>
        <w:bottom w:val="none" w:sz="0" w:space="0" w:color="auto"/>
        <w:right w:val="none" w:sz="0" w:space="0" w:color="auto"/>
      </w:divBdr>
    </w:div>
    <w:div w:id="1999922022">
      <w:bodyDiv w:val="1"/>
      <w:marLeft w:val="0"/>
      <w:marRight w:val="0"/>
      <w:marTop w:val="0"/>
      <w:marBottom w:val="0"/>
      <w:divBdr>
        <w:top w:val="none" w:sz="0" w:space="0" w:color="auto"/>
        <w:left w:val="none" w:sz="0" w:space="0" w:color="auto"/>
        <w:bottom w:val="none" w:sz="0" w:space="0" w:color="auto"/>
        <w:right w:val="none" w:sz="0" w:space="0" w:color="auto"/>
      </w:divBdr>
    </w:div>
    <w:div w:id="202239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chart" Target="charts/chart2.xml"/><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chart" Target="charts/chart1.xml"/><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4.emf"/><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srvfic\donnee\5%20Ressources%20et%20moyens\Finances\BUDGETS%20&amp;%20PPI\249%20BUDGET%20PRINCIPAL\DOB%20et%20pr&#233;pa%20budg&#233;taire\2024\4%20-%20Rapport\PROJET%202024%20FONCT%20v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rvfic\donnee\5%20Ressources%20et%20moyens\Finances\BUDGETS%20&amp;%20PPI\249%20BUDGET%20PRINCIPAL\DOB%20et%20pr&#233;pa%20budg&#233;taire\2024\4%20-%20Rapport\PROJET%202024%20FONCT%20v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solidFill>
                <a:latin typeface="+mn-lt"/>
                <a:ea typeface="+mn-ea"/>
                <a:cs typeface="+mn-cs"/>
              </a:defRPr>
            </a:pPr>
            <a:r>
              <a:rPr lang="fr-FR" sz="1400">
                <a:solidFill>
                  <a:schemeClr val="tx1"/>
                </a:solidFill>
              </a:rPr>
              <a:t>Dépenses réelles de fonctionnement</a:t>
            </a:r>
          </a:p>
        </c:rich>
      </c:tx>
      <c:overlay val="0"/>
      <c:spPr>
        <a:noFill/>
        <a:ln>
          <a:noFill/>
        </a:ln>
        <a:effectLst/>
      </c:spPr>
      <c:txPr>
        <a:bodyPr rot="0" spcFirstLastPara="1" vertOverflow="ellipsis" vert="horz" wrap="square" anchor="ctr" anchorCtr="1"/>
        <a:lstStyle/>
        <a:p>
          <a:pPr>
            <a:defRPr sz="2000" b="0" i="0" u="none" strike="noStrike" kern="1200" spc="0" baseline="0">
              <a:solidFill>
                <a:schemeClr val="tx1"/>
              </a:solidFill>
              <a:latin typeface="+mn-lt"/>
              <a:ea typeface="+mn-ea"/>
              <a:cs typeface="+mn-cs"/>
            </a:defRPr>
          </a:pPr>
          <a:endParaRPr lang="fr-FR"/>
        </a:p>
      </c:txPr>
    </c:title>
    <c:autoTitleDeleted val="0"/>
    <c:view3D>
      <c:rotX val="30"/>
      <c:rotY val="1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59666564025888E-2"/>
          <c:y val="7.3130955093635805E-2"/>
          <c:w val="0.83403187730025363"/>
          <c:h val="0.6438549763273160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10E-487E-B677-C146D5230E9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10E-487E-B677-C146D5230E9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10E-487E-B677-C146D5230E9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10E-487E-B677-C146D5230E9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10E-487E-B677-C146D5230E9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10E-487E-B677-C146D5230E9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10E-487E-B677-C146D5230E9E}"/>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graphes!$B$4:$B$10</c:f>
              <c:strCache>
                <c:ptCount val="7"/>
                <c:pt idx="0">
                  <c:v>011 - Charges à caratère général</c:v>
                </c:pt>
                <c:pt idx="1">
                  <c:v>012 - Charges de personnel et frais assimilés</c:v>
                </c:pt>
                <c:pt idx="2">
                  <c:v>014 - Attenuations de produits</c:v>
                </c:pt>
                <c:pt idx="3">
                  <c:v>65 - Autres charges de gestion courante</c:v>
                </c:pt>
                <c:pt idx="4">
                  <c:v>66 - Charges financières</c:v>
                </c:pt>
                <c:pt idx="5">
                  <c:v>67 - Charges exceptionnelles</c:v>
                </c:pt>
                <c:pt idx="6">
                  <c:v>68 - Dotations aux amortissements et provisions</c:v>
                </c:pt>
              </c:strCache>
            </c:strRef>
          </c:cat>
          <c:val>
            <c:numRef>
              <c:f>graphes!$D$4:$D$10</c:f>
              <c:numCache>
                <c:formatCode>0.00%</c:formatCode>
                <c:ptCount val="7"/>
                <c:pt idx="0">
                  <c:v>0.1464</c:v>
                </c:pt>
                <c:pt idx="1">
                  <c:v>0.36030000000000001</c:v>
                </c:pt>
                <c:pt idx="2">
                  <c:v>0.29170000000000001</c:v>
                </c:pt>
                <c:pt idx="3">
                  <c:v>0.18440000000000001</c:v>
                </c:pt>
                <c:pt idx="4">
                  <c:v>1.44E-2</c:v>
                </c:pt>
                <c:pt idx="5">
                  <c:v>8.9999999999999998E-4</c:v>
                </c:pt>
                <c:pt idx="6">
                  <c:v>1.9E-3</c:v>
                </c:pt>
              </c:numCache>
            </c:numRef>
          </c:val>
          <c:extLst>
            <c:ext xmlns:c16="http://schemas.microsoft.com/office/drawing/2014/chart" uri="{C3380CC4-5D6E-409C-BE32-E72D297353CC}">
              <c16:uniqueId val="{0000000E-A10E-487E-B677-C146D5230E9E}"/>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6.7351134180853089E-2"/>
          <c:y val="0.72990252424234769"/>
          <c:w val="0.85412454728075193"/>
          <c:h val="0.22079415314243275"/>
        </c:manualLayout>
      </c:layout>
      <c:overlay val="0"/>
      <c:spPr>
        <a:noFill/>
        <a:ln>
          <a:noFill/>
        </a:ln>
        <a:effectLst>
          <a:outerShdw blurRad="50800" dist="50800" dir="5400000" sx="1000" sy="1000" algn="ctr" rotWithShape="0">
            <a:srgbClr val="000000"/>
          </a:outerShdw>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ysClr val="windowText" lastClr="000000"/>
                </a:solidFill>
                <a:latin typeface="+mn-lt"/>
                <a:ea typeface="+mn-ea"/>
                <a:cs typeface="+mn-cs"/>
              </a:defRPr>
            </a:pPr>
            <a:r>
              <a:rPr lang="fr-FR" sz="1400">
                <a:solidFill>
                  <a:sysClr val="windowText" lastClr="000000"/>
                </a:solidFill>
              </a:rPr>
              <a:t>Recettes</a:t>
            </a:r>
            <a:r>
              <a:rPr lang="fr-FR" sz="1400" baseline="0">
                <a:solidFill>
                  <a:sysClr val="windowText" lastClr="000000"/>
                </a:solidFill>
              </a:rPr>
              <a:t> réelles de fonctionnement</a:t>
            </a:r>
            <a:endParaRPr lang="fr-FR" sz="1400">
              <a:solidFill>
                <a:sysClr val="windowText" lastClr="000000"/>
              </a:solidFill>
            </a:endParaRPr>
          </a:p>
        </c:rich>
      </c:tx>
      <c:overlay val="0"/>
      <c:spPr>
        <a:noFill/>
        <a:ln>
          <a:noFill/>
        </a:ln>
        <a:effectLst/>
      </c:spPr>
      <c:txPr>
        <a:bodyPr rot="0" spcFirstLastPara="1" vertOverflow="ellipsis" vert="horz" wrap="square" anchor="ctr" anchorCtr="1"/>
        <a:lstStyle/>
        <a:p>
          <a:pPr>
            <a:defRPr sz="2000" b="0" i="0" u="none" strike="noStrike" kern="1200" spc="0" baseline="0">
              <a:solidFill>
                <a:sysClr val="windowText" lastClr="000000"/>
              </a:solidFill>
              <a:latin typeface="+mn-lt"/>
              <a:ea typeface="+mn-ea"/>
              <a:cs typeface="+mn-cs"/>
            </a:defRPr>
          </a:pPr>
          <a:endParaRPr lang="fr-FR"/>
        </a:p>
      </c:txPr>
    </c:title>
    <c:autoTitleDeleted val="0"/>
    <c:view3D>
      <c:rotX val="30"/>
      <c:rotY val="216"/>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467337301871988E-2"/>
          <c:y val="9.4436458770601972E-2"/>
          <c:w val="0.833065325396256"/>
          <c:h val="0.6289290575350132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F98-47CE-9443-6624B5195AB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F98-47CE-9443-6624B5195AB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F98-47CE-9443-6624B5195AB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F98-47CE-9443-6624B5195AB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F98-47CE-9443-6624B5195AB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F98-47CE-9443-6624B5195ABB}"/>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F98-47CE-9443-6624B5195AB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graphes!$F$4:$F$10</c:f>
              <c:strCache>
                <c:ptCount val="7"/>
                <c:pt idx="0">
                  <c:v>002 - Résultat reporté de fonctionnement</c:v>
                </c:pt>
                <c:pt idx="1">
                  <c:v>013 - Atténuation de charges</c:v>
                </c:pt>
                <c:pt idx="2">
                  <c:v>70 - Produits de services, du domaine &amp; ventes diverses</c:v>
                </c:pt>
                <c:pt idx="3">
                  <c:v>73 - Impôts et taxes</c:v>
                </c:pt>
                <c:pt idx="4">
                  <c:v>74 - Dotations et participations</c:v>
                </c:pt>
                <c:pt idx="5">
                  <c:v>75 - Autres produits de gestion courante</c:v>
                </c:pt>
                <c:pt idx="6">
                  <c:v>77 - Produits exceptionnels</c:v>
                </c:pt>
              </c:strCache>
            </c:strRef>
          </c:cat>
          <c:val>
            <c:numRef>
              <c:f>graphes!$H$4:$H$10</c:f>
              <c:numCache>
                <c:formatCode>0.00%</c:formatCode>
                <c:ptCount val="7"/>
                <c:pt idx="0">
                  <c:v>9.5999999999999992E-3</c:v>
                </c:pt>
                <c:pt idx="1">
                  <c:v>4.5999999999999999E-3</c:v>
                </c:pt>
                <c:pt idx="2">
                  <c:v>0.1003</c:v>
                </c:pt>
                <c:pt idx="3">
                  <c:v>0.71440000000000003</c:v>
                </c:pt>
                <c:pt idx="4">
                  <c:v>0.16089999999999999</c:v>
                </c:pt>
                <c:pt idx="5">
                  <c:v>9.4000000000000004E-3</c:v>
                </c:pt>
                <c:pt idx="6">
                  <c:v>8.0000000000000004E-4</c:v>
                </c:pt>
              </c:numCache>
            </c:numRef>
          </c:val>
          <c:extLst>
            <c:ext xmlns:c16="http://schemas.microsoft.com/office/drawing/2014/chart" uri="{C3380CC4-5D6E-409C-BE32-E72D297353CC}">
              <c16:uniqueId val="{0000000E-DF98-47CE-9443-6624B5195ABB}"/>
            </c:ext>
          </c:extLst>
        </c:ser>
        <c:dLbls>
          <c:showLegendKey val="0"/>
          <c:showVal val="0"/>
          <c:showCatName val="0"/>
          <c:showSerName val="0"/>
          <c:showPercent val="0"/>
          <c:showBubbleSize val="0"/>
          <c:showLeaderLines val="1"/>
        </c:dLbls>
      </c:pie3DChart>
      <c:spPr>
        <a:noFill/>
        <a:ln>
          <a:solidFill>
            <a:schemeClr val="lt1">
              <a:alpha val="97000"/>
            </a:schemeClr>
          </a:solidFill>
        </a:ln>
        <a:effectLst>
          <a:outerShdw blurRad="50800" dist="50800" sx="1000" sy="1000" algn="ctr" rotWithShape="0">
            <a:srgbClr val="000000"/>
          </a:outerShdw>
          <a:softEdge rad="0"/>
        </a:effectLst>
      </c:spPr>
    </c:plotArea>
    <c:legend>
      <c:legendPos val="b"/>
      <c:layout>
        <c:manualLayout>
          <c:xMode val="edge"/>
          <c:yMode val="edge"/>
          <c:x val="4.759604835129342E-2"/>
          <c:y val="0.73074750147346279"/>
          <c:w val="0.92386913608189303"/>
          <c:h val="0.2197102260440385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623</TotalTime>
  <Pages>1</Pages>
  <Words>4945</Words>
  <Characters>27203</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Jean-Luc ROPARS</dc:creator>
  <cp:keywords/>
  <dc:description/>
  <cp:lastModifiedBy>Jean-Luc ROPARS</cp:lastModifiedBy>
  <cp:revision>6</cp:revision>
  <cp:lastPrinted>2024-03-15T13:08:00Z</cp:lastPrinted>
  <dcterms:created xsi:type="dcterms:W3CDTF">2024-03-21T11:01:00Z</dcterms:created>
  <dcterms:modified xsi:type="dcterms:W3CDTF">2024-04-03T18:59:00Z</dcterms:modified>
</cp:coreProperties>
</file>